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92" w:rsidRPr="008E2DD7" w:rsidRDefault="00415792">
      <w:pPr>
        <w:pStyle w:val="Header"/>
        <w:rPr>
          <w:rFonts w:eastAsia="標楷體"/>
          <w:color w:val="FF6600"/>
        </w:rPr>
      </w:pPr>
    </w:p>
    <w:p w:rsidR="00415792" w:rsidRPr="008E2DD7" w:rsidRDefault="00415792">
      <w:pPr>
        <w:pStyle w:val="Header"/>
        <w:rPr>
          <w:rFonts w:eastAsia="標楷體"/>
          <w:color w:val="FF6600"/>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Qr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VUEnSI9hGjW6u/l8+/3r3c2P229fyDhS1FqfY+S1xdjQPYMOpU7lensF/IMnBpYNM2tx&#10;4Ry0jWAVpjiKN7Ojqz2OjyBl+woqfIptAiSgrnY68oeMEETHXHYHeUQXCMdD1PtsdIIujr7J6WQy&#10;S/plLL+/bZ0PLwRoEjcFdSh/QmfbKx9iNiy/D4mPeVCyWkmlkuHW5VI5smXYKqv0pQIehClD2oKe&#10;TcfTnoC/QgzT9ycILQP2vJK6oLNDEMsjbc9NlToyMKn6PaaszJ7HSF1PYujKbq9LCdUOGXXQ9zbO&#10;Im4acJ8oabGvC+o/bpgTlKiXBlVBBiOFIRkn09MxGu7YUx57mOEIVdBASb9dhn54NtbJdYMv9X1g&#10;4AKVrGUiOUreZ7XPG3s3cb+fszgcx3aK+vU3WPwE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FW4hCs+AgAAVQQAAA4A&#10;AAAAAAAAAAAAAAAALgIAAGRycy9lMm9Eb2MueG1sUEsBAi0AFAAGAAgAAAAhANHgNVXfAAAACQEA&#10;AA8AAAAAAAAAAAAAAAAAmAQAAGRycy9kb3ducmV2LnhtbFBLBQYAAAAABAAEAPMAAACkBQAAAAA=&#10;">
            <v:textbox>
              <w:txbxContent>
                <w:p w:rsidR="00415792" w:rsidRPr="00DA75FC" w:rsidRDefault="00415792"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Pr="00CA0603">
        <w:rPr>
          <w:rFonts w:eastAsia="標楷體"/>
          <w:noProof/>
          <w:color w:val="FF6600"/>
        </w:rPr>
        <w:pict>
          <v:shape id="圖片 1" o:spid="_x0000_i1027" type="#_x0000_t75" alt="visual_06" style="width:480pt;height:55.5pt;visibility:visible">
            <v:imagedata r:id="rId7" o:title=""/>
          </v:shape>
        </w:pict>
      </w:r>
    </w:p>
    <w:p w:rsidR="00415792" w:rsidRPr="008E2DD7" w:rsidRDefault="00415792">
      <w:pPr>
        <w:rPr>
          <w:rFonts w:eastAsia="標楷體"/>
          <w:b/>
          <w:bCs/>
          <w:color w:val="0000FF"/>
          <w:szCs w:val="20"/>
        </w:rPr>
      </w:pPr>
      <w:r w:rsidRPr="008E2DD7">
        <w:rPr>
          <w:rFonts w:eastAsia="標楷體" w:hint="eastAsia"/>
          <w:b/>
          <w:bCs/>
          <w:color w:val="0000FF"/>
          <w:szCs w:val="20"/>
        </w:rPr>
        <w:t>以下資料由山林水環境工程股份有限公司</w:t>
      </w:r>
      <w:r w:rsidRPr="00EC4138">
        <w:rPr>
          <w:rFonts w:eastAsia="標楷體" w:hint="eastAsia"/>
          <w:b/>
          <w:bCs/>
          <w:color w:val="0000FF"/>
          <w:szCs w:val="20"/>
        </w:rPr>
        <w:t>及其推薦證券商</w:t>
      </w:r>
      <w:r w:rsidRPr="008E2DD7">
        <w:rPr>
          <w:rFonts w:eastAsia="標楷體" w:hint="eastAsia"/>
          <w:b/>
          <w:bCs/>
          <w:color w:val="0000FF"/>
          <w:szCs w:val="20"/>
        </w:rPr>
        <w:t>提供，資料若有錯誤、遺漏或虛偽不實，均由該公司</w:t>
      </w:r>
      <w:r w:rsidRPr="00EC4138">
        <w:rPr>
          <w:rFonts w:eastAsia="標楷體" w:hint="eastAsia"/>
          <w:b/>
          <w:bCs/>
          <w:color w:val="0000FF"/>
          <w:szCs w:val="20"/>
        </w:rPr>
        <w:t>及其推薦證券商</w:t>
      </w:r>
      <w:r w:rsidRPr="008E2DD7">
        <w:rPr>
          <w:rFonts w:eastAsia="標楷體" w:hint="eastAsia"/>
          <w:b/>
          <w:bCs/>
          <w:color w:val="0000FF"/>
          <w:szCs w:val="20"/>
        </w:rPr>
        <w:t>負責。</w:t>
      </w:r>
    </w:p>
    <w:p w:rsidR="00415792" w:rsidRPr="008E2DD7" w:rsidRDefault="00415792">
      <w:pPr>
        <w:rPr>
          <w:rFonts w:eastAsia="標楷體"/>
          <w:b/>
          <w:bCs/>
          <w:color w:val="FF0000"/>
          <w:szCs w:val="20"/>
          <w:u w:val="single"/>
          <w:shd w:val="pct15" w:color="auto" w:fill="FFFFFF"/>
        </w:rPr>
      </w:pPr>
      <w:r w:rsidRPr="008E2DD7">
        <w:rPr>
          <w:rFonts w:eastAsia="標楷體" w:hint="eastAsia"/>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415792" w:rsidRPr="008E2DD7" w:rsidRDefault="00415792">
      <w:pPr>
        <w:tabs>
          <w:tab w:val="left" w:pos="1125"/>
        </w:tabs>
        <w:rPr>
          <w:rFonts w:eastAsia="標楷體"/>
          <w:b/>
          <w:bCs/>
          <w:color w:val="FF6600"/>
          <w:sz w:val="20"/>
          <w:szCs w:val="20"/>
        </w:rPr>
      </w:pPr>
      <w:r>
        <w:rPr>
          <w:noProof/>
        </w:rPr>
        <w:pict>
          <v:shape id="Text Box 3" o:spid="_x0000_s1027" type="#_x0000_t202" style="position:absolute;margin-left:0;margin-top:13.85pt;width:480.75pt;height: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wSigIAABgFAAAOAAAAZHJzL2Uyb0RvYy54bWysVG1v2yAQ/j5p/wHxPfVLnTS24lRNU0+T&#10;uhep3Q8ggGM0GxiQ2N20/74DJ2nWbdI0zR8wcMfD3T3PsbgeuhbtubFCyRInFzFGXFLFhNyW+NNj&#10;NZljZB2RjLRK8hI/cYuvl69fLXpd8FQ1qmXcIACRtuh1iRvndBFFlja8I/ZCaS7BWCvTEQdLs42Y&#10;IT2gd22UxvEs6pVh2ijKrYXd9WjEy4Bf15y6D3VtuUNtiSE2F0YTxo0fo+WCFFtDdCPoIQzyD1F0&#10;REi49AS1Jo6gnRG/QHWCGmVV7S6o6iJV14LykANkk8QvsnloiOYhFyiO1acy2f8HS9/vPxokWInT&#10;HCNJOuDokQ8OrdSALn15em0L8HrQ4OcG2AaaQ6pW3yv62SKpbhsit/zGGNU3nDAIL/Eno7OjI471&#10;IJv+nWJwDdk5FYCG2nS+dlANBOhA09OJGh8Khc1ZEk+n6RQjCrYkvZyn00BeRIrjcW2se8NVh/yk&#10;xAa4D/Bkf2+dD4cURxd/m1WtYJVo27Aw281ta9CegE6qqlrdrUMGL9xa6Z2l8sdGxHEHooQ7vM3H&#10;G3j/lidpFq/SfFLN5leTrMqmk/wqnk/iJF/lszjLs3X13QeYZEUjGOPyXkh+1GCS/R3Hh24Y1RNU&#10;iPoS575UIa8/JhmH73dJdsJBS7aiK/H85EQKz+ydZJA2KRwR7TiPfg4/VBlqcPyHqgQdeOpHEbhh&#10;MwTFBZF4jWwUewJhGAW0AfvwnMCkUeYrRj20Zontlx0xHKP2rQRx5UmW+V4Oi2x6lcLCnFs25xYi&#10;KUCV2GE0Tm/d2P87bcS2gZtGOUt1A4KsRZDKc1QHGUP7hZwOT4Xv7/N18Hp+0JY/AA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NqFHBKKAgAAGAUAAA4AAAAAAAAAAAAAAAAALgIAAGRycy9lMm9Eb2MueG1sUEsBAi0AFAAGAAgA&#10;AAAhAPXBUirbAAAABwEAAA8AAAAAAAAAAAAAAAAA5AQAAGRycy9kb3ducmV2LnhtbFBLBQYAAAAA&#10;BAAEAPMAAADsBQAAAAA=&#10;" fillcolor="#fffbed" stroked="f">
            <v:textbox>
              <w:txbxContent>
                <w:p w:rsidR="00415792" w:rsidRDefault="00415792">
                  <w:pPr>
                    <w:pStyle w:val="Norm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kern w:val="2"/>
                      <w:szCs w:val="20"/>
                    </w:rPr>
                    <w:t xml:space="preserve"> </w:t>
                  </w:r>
                </w:p>
              </w:txbxContent>
            </v:textbox>
          </v:shape>
        </w:pict>
      </w:r>
    </w:p>
    <w:p w:rsidR="00415792" w:rsidRPr="008E2DD7" w:rsidRDefault="00415792">
      <w:pPr>
        <w:rPr>
          <w:rFonts w:eastAsia="標楷體"/>
          <w:b/>
          <w:bCs/>
          <w:color w:val="FF0000"/>
          <w:sz w:val="20"/>
          <w:szCs w:val="20"/>
          <w:shd w:val="pct15" w:color="auto" w:fill="FFFFFF"/>
        </w:rPr>
      </w:pPr>
      <w:bookmarkStart w:id="0" w:name="第一頁"/>
      <w:bookmarkEnd w:id="0"/>
      <w:r>
        <w:rPr>
          <w:noProof/>
        </w:rPr>
        <w:pict>
          <v:shape id="圖片 90" o:spid="_x0000_s1028" type="#_x0000_t75" alt="icon_page_title" style="position:absolute;margin-left:0;margin-top:3.55pt;width:12pt;height:11.5pt;z-index:-251662848;visibility:visible">
            <v:imagedata r:id="rId8" o:title=""/>
          </v:shape>
        </w:pict>
      </w:r>
      <w:r>
        <w:rPr>
          <w:noProof/>
        </w:rPr>
        <w:pict>
          <v:shape id="圖片 91" o:spid="_x0000_s1029" type="#_x0000_t75" alt="icon_page_title" style="position:absolute;margin-left:0;margin-top:3.55pt;width:12pt;height:11.5pt;z-index:-251661824;visibility:visible">
            <v:imagedata r:id="rId8" o:title=""/>
          </v:shape>
        </w:pict>
      </w:r>
      <w:r w:rsidRPr="008E2DD7">
        <w:rPr>
          <w:rFonts w:eastAsia="標楷體"/>
          <w:b/>
          <w:bCs/>
          <w:color w:val="FF6600"/>
          <w:sz w:val="20"/>
          <w:szCs w:val="20"/>
        </w:rPr>
        <w:t xml:space="preserve">   </w:t>
      </w:r>
      <w:r w:rsidRPr="008E2DD7">
        <w:rPr>
          <w:rFonts w:eastAsia="標楷體" w:hint="eastAsia"/>
          <w:b/>
          <w:bCs/>
          <w:color w:val="FF0000"/>
          <w:sz w:val="20"/>
          <w:szCs w:val="20"/>
          <w:u w:val="single"/>
          <w:shd w:val="pct15" w:color="auto" w:fill="FFFFFF"/>
        </w:rPr>
        <w:t>認購相關資訊</w:t>
      </w:r>
    </w:p>
    <w:p w:rsidR="00415792" w:rsidRPr="008E2DD7" w:rsidRDefault="00415792">
      <w:pPr>
        <w:rPr>
          <w:rFonts w:eastAsia="標楷體"/>
          <w:b/>
          <w:bCs/>
          <w:color w:val="FF6600"/>
          <w:sz w:val="20"/>
          <w:szCs w:val="20"/>
        </w:rPr>
      </w:pPr>
      <w:r>
        <w:rPr>
          <w:noProof/>
        </w:rPr>
        <w:pict>
          <v:shape id="圖片 92" o:spid="_x0000_s1030" type="#_x0000_t75" alt="icon_page_title" style="position:absolute;margin-left:0;margin-top:3.55pt;width:12pt;height:11.5pt;z-index:-251660800;visibility:visible">
            <v:imagedata r:id="rId8" o:title=""/>
          </v:shape>
        </w:pict>
      </w:r>
      <w:r w:rsidRPr="008E2DD7">
        <w:rPr>
          <w:rFonts w:eastAsia="標楷體"/>
          <w:b/>
          <w:bCs/>
          <w:color w:val="FF6600"/>
          <w:sz w:val="20"/>
          <w:szCs w:val="20"/>
        </w:rPr>
        <w:t xml:space="preserve">   </w:t>
      </w:r>
      <w:hyperlink w:anchor="公司簡介" w:history="1">
        <w:r w:rsidRPr="008E2DD7">
          <w:rPr>
            <w:rStyle w:val="Hyperlink"/>
            <w:rFonts w:eastAsia="標楷體" w:hint="eastAsia"/>
            <w:b/>
            <w:bCs/>
            <w:color w:val="FF6600"/>
            <w:sz w:val="20"/>
            <w:szCs w:val="20"/>
          </w:rPr>
          <w:t>公司簡介</w:t>
        </w:r>
      </w:hyperlink>
    </w:p>
    <w:p w:rsidR="00415792" w:rsidRPr="008E2DD7" w:rsidRDefault="00415792">
      <w:pPr>
        <w:rPr>
          <w:rFonts w:eastAsia="標楷體"/>
          <w:b/>
          <w:bCs/>
          <w:color w:val="FF6600"/>
          <w:sz w:val="20"/>
          <w:szCs w:val="20"/>
        </w:rPr>
      </w:pPr>
      <w:r>
        <w:rPr>
          <w:noProof/>
        </w:rPr>
        <w:pict>
          <v:shape id="圖片 127" o:spid="_x0000_s1031" type="#_x0000_t75" alt="icon_page_title" style="position:absolute;margin-left:0;margin-top:3.55pt;width:12pt;height:11.5pt;z-index:-251656704;visibility:visible">
            <v:imagedata r:id="rId8" o:title=""/>
          </v:shape>
        </w:pict>
      </w:r>
      <w:r w:rsidRPr="008E2DD7">
        <w:rPr>
          <w:rFonts w:eastAsia="標楷體"/>
          <w:b/>
          <w:bCs/>
          <w:color w:val="FF6600"/>
          <w:sz w:val="20"/>
          <w:szCs w:val="20"/>
        </w:rPr>
        <w:t xml:space="preserve">   </w:t>
      </w:r>
      <w:hyperlink w:anchor="主要業務項目" w:history="1">
        <w:r w:rsidRPr="008E2DD7">
          <w:rPr>
            <w:rStyle w:val="Hyperlink"/>
            <w:rFonts w:eastAsia="標楷體" w:hint="eastAsia"/>
            <w:b/>
            <w:bCs/>
            <w:color w:val="FF6600"/>
            <w:sz w:val="20"/>
            <w:szCs w:val="20"/>
          </w:rPr>
          <w:t>主要業務項目</w:t>
        </w:r>
      </w:hyperlink>
    </w:p>
    <w:p w:rsidR="00415792" w:rsidRPr="008E2DD7" w:rsidRDefault="00415792">
      <w:pPr>
        <w:rPr>
          <w:rFonts w:eastAsia="標楷體"/>
          <w:b/>
          <w:bCs/>
          <w:color w:val="FF6600"/>
          <w:sz w:val="20"/>
          <w:szCs w:val="20"/>
        </w:rPr>
      </w:pPr>
      <w:r>
        <w:rPr>
          <w:noProof/>
        </w:rPr>
        <w:pict>
          <v:shape id="圖片 93" o:spid="_x0000_s1032" type="#_x0000_t75" alt="icon_page_title" style="position:absolute;margin-left:0;margin-top:3.55pt;width:12pt;height:11.5pt;z-index:-251659776;visibility:visible">
            <v:imagedata r:id="rId8" o:title=""/>
          </v:shape>
        </w:pict>
      </w:r>
      <w:r w:rsidRPr="008E2DD7">
        <w:rPr>
          <w:rFonts w:eastAsia="標楷體"/>
          <w:b/>
          <w:bCs/>
          <w:color w:val="FF6600"/>
          <w:sz w:val="20"/>
          <w:szCs w:val="20"/>
        </w:rPr>
        <w:t xml:space="preserve">   </w:t>
      </w:r>
      <w:hyperlink w:anchor="最近五年度簡明損益表及申請年度截至最近月份止之自結損益表" w:history="1">
        <w:r w:rsidRPr="008E2DD7">
          <w:rPr>
            <w:rStyle w:val="Hyperlink"/>
            <w:rFonts w:eastAsia="標楷體" w:hint="eastAsia"/>
            <w:b/>
            <w:bCs/>
            <w:color w:val="FF6600"/>
            <w:sz w:val="20"/>
            <w:szCs w:val="20"/>
          </w:rPr>
          <w:t>最近五年度簡明損益表及申請年度截至最近月份止之自結損益表</w:t>
        </w:r>
      </w:hyperlink>
    </w:p>
    <w:p w:rsidR="00415792" w:rsidRPr="008E2DD7" w:rsidRDefault="00415792">
      <w:pPr>
        <w:rPr>
          <w:rFonts w:eastAsia="標楷體"/>
          <w:b/>
          <w:bCs/>
          <w:color w:val="FF6600"/>
          <w:sz w:val="20"/>
          <w:szCs w:val="20"/>
        </w:rPr>
      </w:pPr>
      <w:r>
        <w:rPr>
          <w:noProof/>
        </w:rPr>
        <w:pict>
          <v:shape id="圖片 95" o:spid="_x0000_s1033" type="#_x0000_t75" alt="icon_page_title" style="position:absolute;margin-left:0;margin-top:3.35pt;width:12pt;height:11.5pt;z-index:-251658752;visibility:visible">
            <v:imagedata r:id="rId8" o:title=""/>
          </v:shape>
        </w:pict>
      </w:r>
      <w:r w:rsidRPr="008E2DD7">
        <w:rPr>
          <w:rFonts w:eastAsia="標楷體"/>
          <w:b/>
          <w:bCs/>
          <w:color w:val="FF6600"/>
          <w:sz w:val="20"/>
          <w:szCs w:val="20"/>
        </w:rPr>
        <w:t xml:space="preserve">   </w:t>
      </w:r>
      <w:hyperlink w:anchor="最近五年度簡明資產負債表" w:history="1">
        <w:r w:rsidRPr="008E2DD7">
          <w:rPr>
            <w:rStyle w:val="Hyperlink"/>
            <w:rFonts w:eastAsia="標楷體" w:hint="eastAsia"/>
            <w:b/>
            <w:bCs/>
            <w:color w:val="FF6600"/>
            <w:sz w:val="20"/>
            <w:szCs w:val="20"/>
          </w:rPr>
          <w:t>最近五年度簡明資產負債表</w:t>
        </w:r>
      </w:hyperlink>
    </w:p>
    <w:p w:rsidR="00415792" w:rsidRPr="008E2DD7" w:rsidRDefault="00415792">
      <w:pPr>
        <w:rPr>
          <w:rFonts w:eastAsia="標楷體"/>
          <w:b/>
          <w:bCs/>
          <w:color w:val="FF6600"/>
          <w:sz w:val="20"/>
        </w:rPr>
      </w:pPr>
      <w:r>
        <w:rPr>
          <w:noProof/>
        </w:rPr>
        <w:pict>
          <v:shape id="圖片 96" o:spid="_x0000_s1034" type="#_x0000_t75" alt="icon_page_title" style="position:absolute;margin-left:0;margin-top:3.35pt;width:12pt;height:11.5pt;z-index:-251657728;visibility:visible">
            <v:imagedata r:id="rId8" o:title=""/>
          </v:shape>
        </w:pict>
      </w:r>
      <w:r w:rsidRPr="008E2DD7">
        <w:rPr>
          <w:rFonts w:eastAsia="標楷體"/>
          <w:b/>
          <w:bCs/>
          <w:color w:val="FF6600"/>
          <w:sz w:val="20"/>
          <w:szCs w:val="20"/>
        </w:rPr>
        <w:t xml:space="preserve">   </w:t>
      </w:r>
      <w:hyperlink w:anchor="最近三年度財務比率及股利發放情形" w:history="1">
        <w:r w:rsidRPr="008E2DD7">
          <w:rPr>
            <w:rStyle w:val="Hyperlink"/>
            <w:rFonts w:eastAsia="標楷體" w:hint="eastAsia"/>
            <w:b/>
            <w:bCs/>
            <w:color w:val="FF6600"/>
            <w:sz w:val="20"/>
            <w:szCs w:val="20"/>
          </w:rPr>
          <w:t>最近三年度財務比率</w:t>
        </w:r>
      </w:hyperlink>
    </w:p>
    <w:p w:rsidR="00415792" w:rsidRPr="008E2DD7" w:rsidRDefault="00415792">
      <w:pPr>
        <w:rPr>
          <w:rFonts w:eastAsia="標楷體"/>
          <w:b/>
          <w:bCs/>
          <w:sz w:val="20"/>
        </w:rPr>
      </w:pPr>
    </w:p>
    <w:p w:rsidR="00415792" w:rsidRPr="008E2DD7" w:rsidRDefault="00415792">
      <w:pPr>
        <w:rPr>
          <w:rFonts w:eastAsia="標楷體"/>
          <w:b/>
          <w:bCs/>
          <w:sz w:val="20"/>
        </w:rPr>
      </w:pPr>
      <w:r w:rsidRPr="008E2DD7">
        <w:rPr>
          <w:rFonts w:eastAsia="標楷體" w:hint="eastAsia"/>
          <w:b/>
          <w:bCs/>
          <w:sz w:val="20"/>
        </w:rPr>
        <w:t>公司名稱：</w:t>
      </w:r>
      <w:r w:rsidRPr="008E2DD7">
        <w:rPr>
          <w:rFonts w:eastAsia="標楷體" w:hint="eastAsia"/>
          <w:b/>
          <w:bCs/>
          <w:color w:val="000000"/>
          <w:sz w:val="20"/>
        </w:rPr>
        <w:t>山林水環境工程股份有限公司</w:t>
      </w:r>
      <w:r w:rsidRPr="008E2DD7">
        <w:rPr>
          <w:rFonts w:eastAsia="標楷體"/>
          <w:b/>
          <w:bCs/>
          <w:sz w:val="20"/>
        </w:rPr>
        <w:t xml:space="preserve"> (</w:t>
      </w:r>
      <w:r w:rsidRPr="008E2DD7">
        <w:rPr>
          <w:rFonts w:eastAsia="標楷體" w:hint="eastAsia"/>
          <w:b/>
          <w:bCs/>
          <w:sz w:val="20"/>
        </w:rPr>
        <w:t>股票代號：</w:t>
      </w:r>
      <w:r w:rsidRPr="008E2DD7">
        <w:rPr>
          <w:rFonts w:eastAsia="標楷體"/>
          <w:b/>
          <w:bCs/>
          <w:sz w:val="20"/>
        </w:rPr>
        <w:t>8473)</w:t>
      </w:r>
    </w:p>
    <w:p w:rsidR="00415792" w:rsidRPr="008E2DD7" w:rsidRDefault="00415792">
      <w:pPr>
        <w:jc w:val="both"/>
        <w:rPr>
          <w:rFonts w:eastAsia="標楷體"/>
        </w:rPr>
      </w:pPr>
      <w:bookmarkStart w:id="1" w:name="基本資料"/>
      <w:bookmarkEnd w:id="1"/>
      <w:r w:rsidRPr="008E2DD7">
        <w:rPr>
          <w:rFonts w:eastAsia="標楷體"/>
        </w:rPr>
        <w:t xml:space="preserve"> </w:t>
      </w:r>
    </w:p>
    <w:tbl>
      <w:tblPr>
        <w:tblW w:w="511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7"/>
        <w:gridCol w:w="7196"/>
      </w:tblGrid>
      <w:tr w:rsidR="00415792" w:rsidRPr="008E2DD7" w:rsidTr="00312A01">
        <w:trPr>
          <w:cantSplit/>
        </w:trPr>
        <w:tc>
          <w:tcPr>
            <w:tcW w:w="1374" w:type="pct"/>
            <w:shd w:val="clear" w:color="auto" w:fill="F9F9F9"/>
          </w:tcPr>
          <w:p w:rsidR="00415792" w:rsidRPr="008E2DD7" w:rsidRDefault="00415792">
            <w:pPr>
              <w:rPr>
                <w:rFonts w:eastAsia="標楷體"/>
                <w:sz w:val="20"/>
              </w:rPr>
            </w:pPr>
            <w:r w:rsidRPr="008E2DD7">
              <w:rPr>
                <w:rFonts w:eastAsia="標楷體" w:hint="eastAsia"/>
                <w:sz w:val="20"/>
              </w:rPr>
              <w:t>輔導推薦證券商</w:t>
            </w:r>
          </w:p>
        </w:tc>
        <w:tc>
          <w:tcPr>
            <w:tcW w:w="3626" w:type="pct"/>
          </w:tcPr>
          <w:p w:rsidR="00415792" w:rsidRPr="008E2DD7" w:rsidRDefault="00415792" w:rsidP="001F21FF">
            <w:pPr>
              <w:rPr>
                <w:rFonts w:eastAsia="標楷體"/>
              </w:rPr>
            </w:pPr>
            <w:r w:rsidRPr="008E2DD7">
              <w:rPr>
                <w:rFonts w:eastAsia="標楷體" w:hint="eastAsia"/>
              </w:rPr>
              <w:t>兆豐證券</w:t>
            </w:r>
            <w:r w:rsidRPr="008E2DD7">
              <w:rPr>
                <w:rFonts w:eastAsia="標楷體"/>
              </w:rPr>
              <w:t>(</w:t>
            </w:r>
            <w:r w:rsidRPr="008E2DD7">
              <w:rPr>
                <w:rFonts w:eastAsia="標楷體" w:hint="eastAsia"/>
              </w:rPr>
              <w:t>股</w:t>
            </w:r>
            <w:r w:rsidRPr="008E2DD7">
              <w:rPr>
                <w:rFonts w:eastAsia="標楷體"/>
              </w:rPr>
              <w:t>)</w:t>
            </w:r>
            <w:r w:rsidRPr="008E2DD7">
              <w:rPr>
                <w:rFonts w:eastAsia="標楷體" w:hint="eastAsia"/>
              </w:rPr>
              <w:t>公司、元大寶來證券</w:t>
            </w:r>
            <w:r w:rsidRPr="008E2DD7">
              <w:rPr>
                <w:rFonts w:eastAsia="標楷體"/>
              </w:rPr>
              <w:t>(</w:t>
            </w:r>
            <w:r w:rsidRPr="008E2DD7">
              <w:rPr>
                <w:rFonts w:eastAsia="標楷體" w:hint="eastAsia"/>
              </w:rPr>
              <w:t>股</w:t>
            </w:r>
            <w:r w:rsidRPr="008E2DD7">
              <w:rPr>
                <w:rFonts w:eastAsia="標楷體"/>
              </w:rPr>
              <w:t>)</w:t>
            </w:r>
            <w:r w:rsidRPr="008E2DD7">
              <w:rPr>
                <w:rFonts w:eastAsia="標楷體" w:hint="eastAsia"/>
              </w:rPr>
              <w:t>公司、日盛證券</w:t>
            </w:r>
            <w:r w:rsidRPr="008E2DD7">
              <w:rPr>
                <w:rFonts w:eastAsia="標楷體"/>
              </w:rPr>
              <w:t>(</w:t>
            </w:r>
            <w:r w:rsidRPr="008E2DD7">
              <w:rPr>
                <w:rFonts w:eastAsia="標楷體" w:hint="eastAsia"/>
              </w:rPr>
              <w:t>股</w:t>
            </w:r>
            <w:r w:rsidRPr="008E2DD7">
              <w:rPr>
                <w:rFonts w:eastAsia="標楷體"/>
              </w:rPr>
              <w:t>)</w:t>
            </w:r>
            <w:r w:rsidRPr="008E2DD7">
              <w:rPr>
                <w:rFonts w:eastAsia="標楷體" w:hint="eastAsia"/>
              </w:rPr>
              <w:t>公司</w:t>
            </w:r>
          </w:p>
        </w:tc>
      </w:tr>
      <w:tr w:rsidR="00415792" w:rsidRPr="008E2DD7" w:rsidTr="00312A01">
        <w:trPr>
          <w:cantSplit/>
        </w:trPr>
        <w:tc>
          <w:tcPr>
            <w:tcW w:w="1374" w:type="pct"/>
            <w:shd w:val="clear" w:color="auto" w:fill="F9F9F9"/>
          </w:tcPr>
          <w:p w:rsidR="00415792" w:rsidRPr="008E2DD7" w:rsidRDefault="00415792" w:rsidP="00385C47">
            <w:pPr>
              <w:rPr>
                <w:rFonts w:eastAsia="標楷體"/>
                <w:color w:val="000000"/>
                <w:sz w:val="20"/>
                <w:szCs w:val="20"/>
              </w:rPr>
            </w:pPr>
            <w:r w:rsidRPr="008E2DD7">
              <w:rPr>
                <w:rFonts w:eastAsia="標楷體" w:hint="eastAsia"/>
                <w:color w:val="000000"/>
                <w:sz w:val="20"/>
                <w:szCs w:val="20"/>
              </w:rPr>
              <w:t>主辦輔導券商聯絡人電話</w:t>
            </w:r>
          </w:p>
        </w:tc>
        <w:tc>
          <w:tcPr>
            <w:tcW w:w="3626" w:type="pct"/>
          </w:tcPr>
          <w:p w:rsidR="00415792" w:rsidRPr="008E2DD7" w:rsidRDefault="00415792" w:rsidP="001F21FF">
            <w:pPr>
              <w:rPr>
                <w:rFonts w:eastAsia="標楷體"/>
              </w:rPr>
            </w:pPr>
            <w:r w:rsidRPr="008E2DD7">
              <w:rPr>
                <w:rFonts w:eastAsia="標楷體" w:hint="eastAsia"/>
              </w:rPr>
              <w:t>兆豐證券股份有限公司聯絡人：</w:t>
            </w:r>
            <w:smartTag w:uri="urn:schemas-microsoft-com:office:smarttags" w:element="PersonName">
              <w:r w:rsidRPr="008E2DD7">
                <w:rPr>
                  <w:rFonts w:eastAsia="標楷體" w:hint="eastAsia"/>
                </w:rPr>
                <w:t>鄧伃晴</w:t>
              </w:r>
            </w:smartTag>
          </w:p>
          <w:p w:rsidR="00415792" w:rsidRPr="008E2DD7" w:rsidRDefault="00415792" w:rsidP="001F21FF">
            <w:pPr>
              <w:rPr>
                <w:rFonts w:eastAsia="標楷體"/>
              </w:rPr>
            </w:pPr>
            <w:r w:rsidRPr="008E2DD7">
              <w:rPr>
                <w:rFonts w:eastAsia="標楷體" w:hint="eastAsia"/>
              </w:rPr>
              <w:t>聯絡電話：</w:t>
            </w:r>
            <w:r w:rsidRPr="008E2DD7">
              <w:rPr>
                <w:rFonts w:eastAsia="標楷體"/>
              </w:rPr>
              <w:t>(02)3322-7905</w:t>
            </w:r>
          </w:p>
        </w:tc>
      </w:tr>
      <w:tr w:rsidR="00415792" w:rsidRPr="008E2DD7" w:rsidTr="00312A01">
        <w:trPr>
          <w:cantSplit/>
        </w:trPr>
        <w:tc>
          <w:tcPr>
            <w:tcW w:w="1374" w:type="pct"/>
            <w:shd w:val="clear" w:color="auto" w:fill="F9F9F9"/>
          </w:tcPr>
          <w:p w:rsidR="00415792" w:rsidRPr="008E2DD7" w:rsidRDefault="00415792">
            <w:pPr>
              <w:rPr>
                <w:rFonts w:eastAsia="標楷體"/>
                <w:sz w:val="20"/>
              </w:rPr>
            </w:pPr>
            <w:r w:rsidRPr="008E2DD7">
              <w:rPr>
                <w:rFonts w:eastAsia="標楷體" w:hint="eastAsia"/>
                <w:sz w:val="20"/>
              </w:rPr>
              <w:t>註冊地國</w:t>
            </w:r>
          </w:p>
        </w:tc>
        <w:tc>
          <w:tcPr>
            <w:tcW w:w="3626" w:type="pct"/>
          </w:tcPr>
          <w:p w:rsidR="00415792" w:rsidRPr="008E2DD7" w:rsidRDefault="00415792">
            <w:pPr>
              <w:rPr>
                <w:rFonts w:eastAsia="標楷體"/>
              </w:rPr>
            </w:pPr>
            <w:r w:rsidRPr="008E2DD7">
              <w:rPr>
                <w:rFonts w:eastAsia="標楷體" w:hint="eastAsia"/>
              </w:rPr>
              <w:t>不適用</w:t>
            </w:r>
          </w:p>
        </w:tc>
      </w:tr>
      <w:tr w:rsidR="00415792" w:rsidRPr="008E2DD7" w:rsidTr="00312A01">
        <w:trPr>
          <w:cantSplit/>
        </w:trPr>
        <w:tc>
          <w:tcPr>
            <w:tcW w:w="1374" w:type="pct"/>
            <w:shd w:val="clear" w:color="auto" w:fill="F9F9F9"/>
          </w:tcPr>
          <w:p w:rsidR="00415792" w:rsidRPr="008E2DD7" w:rsidRDefault="00415792">
            <w:pPr>
              <w:rPr>
                <w:rFonts w:eastAsia="標楷體"/>
                <w:sz w:val="20"/>
              </w:rPr>
            </w:pPr>
            <w:r w:rsidRPr="008E2DD7">
              <w:rPr>
                <w:rFonts w:eastAsia="標楷體" w:hint="eastAsia"/>
                <w:sz w:val="20"/>
              </w:rPr>
              <w:t>訴訟及非訟代理人</w:t>
            </w:r>
          </w:p>
        </w:tc>
        <w:tc>
          <w:tcPr>
            <w:tcW w:w="3626" w:type="pct"/>
          </w:tcPr>
          <w:p w:rsidR="00415792" w:rsidRPr="008E2DD7" w:rsidRDefault="00415792" w:rsidP="00181B1C">
            <w:pPr>
              <w:rPr>
                <w:rFonts w:eastAsia="標楷體"/>
              </w:rPr>
            </w:pPr>
            <w:r w:rsidRPr="008E2DD7">
              <w:rPr>
                <w:rFonts w:eastAsia="標楷體" w:hint="eastAsia"/>
              </w:rPr>
              <w:t>不適用</w:t>
            </w:r>
          </w:p>
        </w:tc>
      </w:tr>
    </w:tbl>
    <w:p w:rsidR="00415792" w:rsidRPr="008E2DD7" w:rsidRDefault="00415792">
      <w:pPr>
        <w:jc w:val="both"/>
        <w:rPr>
          <w:rFonts w:eastAsia="標楷體"/>
        </w:rPr>
      </w:pPr>
      <w:r w:rsidRPr="008E2DD7">
        <w:rPr>
          <w:rFonts w:eastAsia="標楷體"/>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7"/>
        <w:gridCol w:w="2978"/>
        <w:gridCol w:w="2812"/>
        <w:gridCol w:w="2627"/>
      </w:tblGrid>
      <w:tr w:rsidR="00415792" w:rsidRPr="008E2DD7" w:rsidTr="00E47A8A">
        <w:tc>
          <w:tcPr>
            <w:tcW w:w="5000" w:type="pct"/>
            <w:gridSpan w:val="4"/>
          </w:tcPr>
          <w:p w:rsidR="00415792" w:rsidRPr="00E47A8A" w:rsidRDefault="00415792" w:rsidP="001F21FF">
            <w:pPr>
              <w:jc w:val="center"/>
              <w:rPr>
                <w:rFonts w:eastAsia="標楷體"/>
                <w:color w:val="000000"/>
                <w:shd w:val="pct15" w:color="auto" w:fill="FFFFFF"/>
              </w:rPr>
            </w:pPr>
            <w:r w:rsidRPr="00E47A8A">
              <w:rPr>
                <w:rFonts w:eastAsia="標楷體" w:hint="eastAsia"/>
                <w:color w:val="000000"/>
              </w:rPr>
              <w:t>輔導推薦證券商認購山林水環境工程股份有限公司股票之相關資訊</w:t>
            </w:r>
          </w:p>
        </w:tc>
      </w:tr>
      <w:tr w:rsidR="00415792" w:rsidRPr="008E2DD7" w:rsidTr="00E47A8A">
        <w:trPr>
          <w:trHeight w:val="375"/>
        </w:trPr>
        <w:tc>
          <w:tcPr>
            <w:tcW w:w="729" w:type="pct"/>
            <w:vMerge w:val="restart"/>
            <w:vAlign w:val="center"/>
          </w:tcPr>
          <w:p w:rsidR="00415792" w:rsidRPr="008E2DD7" w:rsidRDefault="00415792" w:rsidP="00E47A8A">
            <w:pPr>
              <w:jc w:val="center"/>
              <w:rPr>
                <w:rFonts w:eastAsia="標楷體"/>
                <w:color w:val="000000"/>
              </w:rPr>
            </w:pPr>
            <w:r w:rsidRPr="008E2DD7">
              <w:rPr>
                <w:rFonts w:eastAsia="標楷體" w:hint="eastAsia"/>
                <w:color w:val="000000"/>
              </w:rPr>
              <w:t>證券商名稱</w:t>
            </w:r>
          </w:p>
        </w:tc>
        <w:tc>
          <w:tcPr>
            <w:tcW w:w="1511" w:type="pct"/>
          </w:tcPr>
          <w:p w:rsidR="00415792" w:rsidRPr="00E47A8A" w:rsidRDefault="00415792" w:rsidP="00EC4138">
            <w:pPr>
              <w:jc w:val="center"/>
              <w:rPr>
                <w:rFonts w:ascii="標楷體" w:eastAsia="標楷體" w:hAnsi="標楷體"/>
                <w:shd w:val="pct15" w:color="auto" w:fill="FFFFFF"/>
              </w:rPr>
            </w:pPr>
            <w:r w:rsidRPr="00E47A8A">
              <w:rPr>
                <w:rFonts w:eastAsia="標楷體" w:hint="eastAsia"/>
                <w:color w:val="000000"/>
              </w:rPr>
              <w:t>主辦</w:t>
            </w:r>
          </w:p>
        </w:tc>
        <w:tc>
          <w:tcPr>
            <w:tcW w:w="1427" w:type="pct"/>
          </w:tcPr>
          <w:p w:rsidR="00415792" w:rsidRPr="00E47A8A" w:rsidRDefault="00415792" w:rsidP="00EC4138">
            <w:pPr>
              <w:jc w:val="center"/>
              <w:rPr>
                <w:rFonts w:ascii="標楷體" w:eastAsia="標楷體" w:hAnsi="標楷體"/>
                <w:shd w:val="pct15" w:color="auto" w:fill="FFFFFF"/>
              </w:rPr>
            </w:pPr>
            <w:r w:rsidRPr="00E47A8A">
              <w:rPr>
                <w:rFonts w:eastAsia="標楷體" w:hint="eastAsia"/>
                <w:color w:val="000000"/>
              </w:rPr>
              <w:t>協辦</w:t>
            </w:r>
          </w:p>
        </w:tc>
        <w:tc>
          <w:tcPr>
            <w:tcW w:w="1333" w:type="pct"/>
          </w:tcPr>
          <w:p w:rsidR="00415792" w:rsidRPr="00E47A8A" w:rsidRDefault="00415792" w:rsidP="00EC4138">
            <w:pPr>
              <w:jc w:val="center"/>
              <w:rPr>
                <w:rFonts w:ascii="標楷體" w:eastAsia="標楷體" w:hAnsi="標楷體"/>
                <w:shd w:val="pct15" w:color="auto" w:fill="FFFFFF"/>
              </w:rPr>
            </w:pPr>
            <w:r w:rsidRPr="00E47A8A">
              <w:rPr>
                <w:rFonts w:eastAsia="標楷體" w:hint="eastAsia"/>
                <w:color w:val="000000"/>
              </w:rPr>
              <w:t>協辦</w:t>
            </w:r>
          </w:p>
        </w:tc>
      </w:tr>
      <w:tr w:rsidR="00415792" w:rsidRPr="008E2DD7" w:rsidTr="00E47A8A">
        <w:trPr>
          <w:trHeight w:val="345"/>
        </w:trPr>
        <w:tc>
          <w:tcPr>
            <w:tcW w:w="729" w:type="pct"/>
            <w:vMerge/>
          </w:tcPr>
          <w:p w:rsidR="00415792" w:rsidRPr="008E2DD7" w:rsidRDefault="00415792" w:rsidP="00F23D95">
            <w:pPr>
              <w:jc w:val="center"/>
              <w:rPr>
                <w:rFonts w:eastAsia="標楷體"/>
                <w:color w:val="000000"/>
              </w:rPr>
            </w:pPr>
          </w:p>
        </w:tc>
        <w:tc>
          <w:tcPr>
            <w:tcW w:w="1511" w:type="pct"/>
          </w:tcPr>
          <w:p w:rsidR="00415792" w:rsidRDefault="00415792" w:rsidP="00F23D95">
            <w:pPr>
              <w:jc w:val="center"/>
              <w:rPr>
                <w:rFonts w:eastAsia="標楷體"/>
                <w:color w:val="000000"/>
              </w:rPr>
            </w:pPr>
            <w:r w:rsidRPr="008E2DD7">
              <w:rPr>
                <w:rFonts w:eastAsia="標楷體" w:hint="eastAsia"/>
                <w:color w:val="000000"/>
              </w:rPr>
              <w:t>兆豐證券</w:t>
            </w:r>
            <w:r w:rsidRPr="008E2DD7">
              <w:rPr>
                <w:rFonts w:eastAsia="標楷體"/>
                <w:color w:val="000000"/>
              </w:rPr>
              <w:t>(</w:t>
            </w:r>
            <w:r w:rsidRPr="008E2DD7">
              <w:rPr>
                <w:rFonts w:eastAsia="標楷體" w:hint="eastAsia"/>
                <w:color w:val="000000"/>
              </w:rPr>
              <w:t>股</w:t>
            </w:r>
            <w:r w:rsidRPr="008E2DD7">
              <w:rPr>
                <w:rFonts w:eastAsia="標楷體"/>
                <w:color w:val="000000"/>
              </w:rPr>
              <w:t>)</w:t>
            </w:r>
            <w:r w:rsidRPr="008E2DD7">
              <w:rPr>
                <w:rFonts w:eastAsia="標楷體" w:hint="eastAsia"/>
                <w:color w:val="000000"/>
              </w:rPr>
              <w:t>公司</w:t>
            </w:r>
          </w:p>
        </w:tc>
        <w:tc>
          <w:tcPr>
            <w:tcW w:w="1427" w:type="pct"/>
          </w:tcPr>
          <w:p w:rsidR="00415792" w:rsidRDefault="00415792" w:rsidP="00F23D95">
            <w:pPr>
              <w:jc w:val="center"/>
              <w:rPr>
                <w:rFonts w:eastAsia="標楷體"/>
                <w:color w:val="000000"/>
              </w:rPr>
            </w:pPr>
            <w:r w:rsidRPr="008E2DD7">
              <w:rPr>
                <w:rFonts w:eastAsia="標楷體" w:hint="eastAsia"/>
                <w:color w:val="000000"/>
              </w:rPr>
              <w:t>元大寶來證券</w:t>
            </w:r>
            <w:r w:rsidRPr="008E2DD7">
              <w:rPr>
                <w:rFonts w:eastAsia="標楷體"/>
                <w:color w:val="000000"/>
              </w:rPr>
              <w:t>(</w:t>
            </w:r>
            <w:r w:rsidRPr="008E2DD7">
              <w:rPr>
                <w:rFonts w:eastAsia="標楷體" w:hint="eastAsia"/>
                <w:color w:val="000000"/>
              </w:rPr>
              <w:t>股</w:t>
            </w:r>
            <w:r w:rsidRPr="008E2DD7">
              <w:rPr>
                <w:rFonts w:eastAsia="標楷體"/>
                <w:color w:val="000000"/>
              </w:rPr>
              <w:t>)</w:t>
            </w:r>
            <w:r w:rsidRPr="008E2DD7">
              <w:rPr>
                <w:rFonts w:eastAsia="標楷體" w:hint="eastAsia"/>
                <w:color w:val="000000"/>
              </w:rPr>
              <w:t>公司</w:t>
            </w:r>
          </w:p>
        </w:tc>
        <w:tc>
          <w:tcPr>
            <w:tcW w:w="1333" w:type="pct"/>
          </w:tcPr>
          <w:p w:rsidR="00415792" w:rsidRDefault="00415792" w:rsidP="0015464F">
            <w:pPr>
              <w:jc w:val="center"/>
              <w:rPr>
                <w:rFonts w:eastAsia="標楷體"/>
                <w:color w:val="000000"/>
              </w:rPr>
            </w:pPr>
            <w:r w:rsidRPr="008E2DD7">
              <w:rPr>
                <w:rFonts w:eastAsia="標楷體" w:hint="eastAsia"/>
                <w:color w:val="000000"/>
              </w:rPr>
              <w:t>日盛證券</w:t>
            </w:r>
            <w:r w:rsidRPr="008E2DD7">
              <w:rPr>
                <w:rFonts w:eastAsia="標楷體"/>
                <w:color w:val="000000"/>
              </w:rPr>
              <w:t>(</w:t>
            </w:r>
            <w:r w:rsidRPr="008E2DD7">
              <w:rPr>
                <w:rFonts w:eastAsia="標楷體" w:hint="eastAsia"/>
                <w:color w:val="000000"/>
              </w:rPr>
              <w:t>股</w:t>
            </w:r>
            <w:r w:rsidRPr="008E2DD7">
              <w:rPr>
                <w:rFonts w:eastAsia="標楷體"/>
                <w:color w:val="000000"/>
              </w:rPr>
              <w:t>)</w:t>
            </w:r>
            <w:r w:rsidRPr="008E2DD7">
              <w:rPr>
                <w:rFonts w:eastAsia="標楷體" w:hint="eastAsia"/>
                <w:color w:val="000000"/>
              </w:rPr>
              <w:t>公司</w:t>
            </w:r>
          </w:p>
        </w:tc>
      </w:tr>
      <w:tr w:rsidR="00415792" w:rsidRPr="008E2DD7" w:rsidTr="00E47A8A">
        <w:tc>
          <w:tcPr>
            <w:tcW w:w="729" w:type="pct"/>
          </w:tcPr>
          <w:p w:rsidR="00415792" w:rsidRPr="008E2DD7" w:rsidRDefault="00415792" w:rsidP="00F23D95">
            <w:pPr>
              <w:jc w:val="center"/>
              <w:rPr>
                <w:rFonts w:eastAsia="標楷體"/>
                <w:color w:val="000000"/>
              </w:rPr>
            </w:pPr>
            <w:r w:rsidRPr="008E2DD7">
              <w:rPr>
                <w:rFonts w:eastAsia="標楷體" w:hint="eastAsia"/>
                <w:color w:val="000000"/>
              </w:rPr>
              <w:t>認購日期</w:t>
            </w:r>
          </w:p>
        </w:tc>
        <w:tc>
          <w:tcPr>
            <w:tcW w:w="4271" w:type="pct"/>
            <w:gridSpan w:val="3"/>
          </w:tcPr>
          <w:p w:rsidR="00415792" w:rsidRPr="008E2DD7" w:rsidRDefault="00415792" w:rsidP="00611823">
            <w:pPr>
              <w:jc w:val="center"/>
              <w:rPr>
                <w:rFonts w:eastAsia="標楷體"/>
                <w:color w:val="000000"/>
              </w:rPr>
            </w:pPr>
            <w:r w:rsidRPr="008E2DD7">
              <w:rPr>
                <w:rFonts w:eastAsia="標楷體"/>
                <w:color w:val="000000"/>
              </w:rPr>
              <w:t>104.3.25</w:t>
            </w:r>
          </w:p>
        </w:tc>
      </w:tr>
      <w:tr w:rsidR="00415792" w:rsidRPr="008E2DD7" w:rsidTr="00E47A8A">
        <w:tc>
          <w:tcPr>
            <w:tcW w:w="729" w:type="pct"/>
          </w:tcPr>
          <w:p w:rsidR="00415792" w:rsidRPr="008E2DD7" w:rsidRDefault="00415792" w:rsidP="00F23D95">
            <w:pPr>
              <w:jc w:val="center"/>
              <w:rPr>
                <w:rFonts w:eastAsia="標楷體"/>
                <w:color w:val="000000"/>
              </w:rPr>
            </w:pPr>
            <w:r w:rsidRPr="008E2DD7">
              <w:rPr>
                <w:rFonts w:eastAsia="標楷體" w:hint="eastAsia"/>
                <w:color w:val="000000"/>
              </w:rPr>
              <w:t>認購股數（股）</w:t>
            </w:r>
          </w:p>
        </w:tc>
        <w:tc>
          <w:tcPr>
            <w:tcW w:w="1511" w:type="pct"/>
            <w:vAlign w:val="center"/>
          </w:tcPr>
          <w:p w:rsidR="00415792" w:rsidRPr="008E2DD7" w:rsidRDefault="00415792" w:rsidP="001F21FF">
            <w:pPr>
              <w:jc w:val="center"/>
              <w:rPr>
                <w:rFonts w:eastAsia="標楷體"/>
                <w:color w:val="000000"/>
              </w:rPr>
            </w:pPr>
            <w:r w:rsidRPr="008E2DD7">
              <w:rPr>
                <w:rFonts w:eastAsia="標楷體"/>
                <w:color w:val="000000"/>
              </w:rPr>
              <w:t>1,300,000</w:t>
            </w:r>
          </w:p>
        </w:tc>
        <w:tc>
          <w:tcPr>
            <w:tcW w:w="1427" w:type="pct"/>
            <w:vAlign w:val="center"/>
          </w:tcPr>
          <w:p w:rsidR="00415792" w:rsidRPr="008E2DD7" w:rsidRDefault="00415792" w:rsidP="001F21FF">
            <w:pPr>
              <w:jc w:val="center"/>
              <w:rPr>
                <w:rFonts w:eastAsia="標楷體"/>
                <w:color w:val="000000"/>
              </w:rPr>
            </w:pPr>
            <w:r w:rsidRPr="008E2DD7">
              <w:rPr>
                <w:rFonts w:eastAsia="標楷體"/>
                <w:color w:val="000000"/>
              </w:rPr>
              <w:t>100,000</w:t>
            </w:r>
          </w:p>
        </w:tc>
        <w:tc>
          <w:tcPr>
            <w:tcW w:w="1333" w:type="pct"/>
            <w:vAlign w:val="center"/>
          </w:tcPr>
          <w:p w:rsidR="00415792" w:rsidRPr="008E2DD7" w:rsidRDefault="00415792" w:rsidP="001F21FF">
            <w:pPr>
              <w:jc w:val="center"/>
              <w:rPr>
                <w:rFonts w:eastAsia="標楷體"/>
                <w:color w:val="000000"/>
              </w:rPr>
            </w:pPr>
            <w:r w:rsidRPr="008E2DD7">
              <w:rPr>
                <w:rFonts w:eastAsia="標楷體"/>
                <w:color w:val="000000"/>
              </w:rPr>
              <w:t>100,000</w:t>
            </w:r>
          </w:p>
        </w:tc>
      </w:tr>
      <w:tr w:rsidR="00415792" w:rsidRPr="008E2DD7" w:rsidTr="00E47A8A">
        <w:tc>
          <w:tcPr>
            <w:tcW w:w="729" w:type="pct"/>
          </w:tcPr>
          <w:p w:rsidR="00415792" w:rsidRPr="008E2DD7" w:rsidRDefault="00415792" w:rsidP="00F23D95">
            <w:pPr>
              <w:jc w:val="center"/>
              <w:rPr>
                <w:rFonts w:eastAsia="標楷體"/>
                <w:color w:val="000000"/>
              </w:rPr>
            </w:pPr>
            <w:r w:rsidRPr="008E2DD7">
              <w:rPr>
                <w:rFonts w:eastAsia="標楷體" w:hint="eastAsia"/>
                <w:color w:val="000000"/>
              </w:rPr>
              <w:t>認購占擬櫃檯買賣股份總數之比率</w:t>
            </w:r>
          </w:p>
        </w:tc>
        <w:tc>
          <w:tcPr>
            <w:tcW w:w="1511" w:type="pct"/>
            <w:vAlign w:val="center"/>
          </w:tcPr>
          <w:p w:rsidR="00415792" w:rsidRPr="008E2DD7" w:rsidRDefault="00415792">
            <w:pPr>
              <w:jc w:val="center"/>
              <w:rPr>
                <w:rFonts w:eastAsia="標楷體"/>
                <w:color w:val="000000"/>
              </w:rPr>
            </w:pPr>
            <w:r w:rsidRPr="008E2DD7">
              <w:rPr>
                <w:rFonts w:eastAsia="標楷體"/>
                <w:color w:val="000000"/>
              </w:rPr>
              <w:t>1.15%</w:t>
            </w:r>
          </w:p>
        </w:tc>
        <w:tc>
          <w:tcPr>
            <w:tcW w:w="1427" w:type="pct"/>
            <w:vAlign w:val="center"/>
          </w:tcPr>
          <w:p w:rsidR="00415792" w:rsidRPr="008E2DD7" w:rsidRDefault="00415792">
            <w:pPr>
              <w:jc w:val="center"/>
              <w:rPr>
                <w:rFonts w:eastAsia="標楷體"/>
                <w:color w:val="000000"/>
              </w:rPr>
            </w:pPr>
            <w:r w:rsidRPr="008E2DD7">
              <w:rPr>
                <w:rFonts w:eastAsia="標楷體"/>
                <w:color w:val="000000"/>
              </w:rPr>
              <w:t>0.09%</w:t>
            </w:r>
          </w:p>
        </w:tc>
        <w:tc>
          <w:tcPr>
            <w:tcW w:w="1333" w:type="pct"/>
            <w:vAlign w:val="center"/>
          </w:tcPr>
          <w:p w:rsidR="00415792" w:rsidRPr="008E2DD7" w:rsidRDefault="00415792">
            <w:pPr>
              <w:jc w:val="center"/>
              <w:rPr>
                <w:rFonts w:eastAsia="標楷體"/>
                <w:color w:val="000000"/>
              </w:rPr>
            </w:pPr>
            <w:r w:rsidRPr="008E2DD7">
              <w:rPr>
                <w:rFonts w:eastAsia="標楷體"/>
                <w:color w:val="000000"/>
              </w:rPr>
              <w:t>0.09%</w:t>
            </w:r>
          </w:p>
        </w:tc>
      </w:tr>
      <w:tr w:rsidR="00415792" w:rsidRPr="008E2DD7" w:rsidTr="00E47A8A">
        <w:tc>
          <w:tcPr>
            <w:tcW w:w="729" w:type="pct"/>
          </w:tcPr>
          <w:p w:rsidR="00415792" w:rsidRPr="008E2DD7" w:rsidRDefault="00415792" w:rsidP="00F23D95">
            <w:pPr>
              <w:jc w:val="center"/>
              <w:rPr>
                <w:rFonts w:eastAsia="標楷體"/>
                <w:color w:val="000000"/>
              </w:rPr>
            </w:pPr>
            <w:r w:rsidRPr="008E2DD7">
              <w:rPr>
                <w:rFonts w:eastAsia="標楷體" w:hint="eastAsia"/>
                <w:color w:val="000000"/>
              </w:rPr>
              <w:t>認購價格</w:t>
            </w:r>
          </w:p>
        </w:tc>
        <w:tc>
          <w:tcPr>
            <w:tcW w:w="4271" w:type="pct"/>
            <w:gridSpan w:val="3"/>
          </w:tcPr>
          <w:p w:rsidR="00415792" w:rsidRPr="008E2DD7" w:rsidRDefault="00415792" w:rsidP="00181B1C">
            <w:pPr>
              <w:jc w:val="center"/>
              <w:rPr>
                <w:rFonts w:eastAsia="標楷體"/>
                <w:color w:val="000000"/>
              </w:rPr>
            </w:pPr>
            <w:r w:rsidRPr="008E2DD7">
              <w:rPr>
                <w:rFonts w:eastAsia="標楷體" w:hint="eastAsia"/>
              </w:rPr>
              <w:t>每股新台幣</w:t>
            </w:r>
            <w:r w:rsidRPr="008E2DD7">
              <w:rPr>
                <w:rFonts w:eastAsia="標楷體"/>
                <w:color w:val="000000"/>
              </w:rPr>
              <w:t>53</w:t>
            </w:r>
            <w:r w:rsidRPr="008E2DD7">
              <w:rPr>
                <w:rFonts w:eastAsia="標楷體" w:hint="eastAsia"/>
                <w:color w:val="000000"/>
              </w:rPr>
              <w:t>元</w:t>
            </w:r>
          </w:p>
        </w:tc>
      </w:tr>
      <w:tr w:rsidR="00415792" w:rsidRPr="008E2DD7" w:rsidTr="00E47A8A">
        <w:tc>
          <w:tcPr>
            <w:tcW w:w="729" w:type="pct"/>
            <w:vAlign w:val="center"/>
          </w:tcPr>
          <w:p w:rsidR="00415792" w:rsidRPr="008E2DD7" w:rsidRDefault="00415792" w:rsidP="00FE5ADF">
            <w:pPr>
              <w:jc w:val="center"/>
              <w:rPr>
                <w:rFonts w:eastAsia="標楷體"/>
                <w:color w:val="FF0000"/>
                <w:u w:val="single"/>
                <w:shd w:val="pct15" w:color="auto" w:fill="FFFFFF"/>
              </w:rPr>
            </w:pPr>
            <w:r w:rsidRPr="008E2DD7">
              <w:rPr>
                <w:rFonts w:eastAsia="標楷體" w:hint="eastAsia"/>
                <w:color w:val="000000"/>
              </w:rPr>
              <w:t>認購價格之訂定依據及方式</w:t>
            </w:r>
          </w:p>
        </w:tc>
        <w:tc>
          <w:tcPr>
            <w:tcW w:w="4271" w:type="pct"/>
            <w:gridSpan w:val="3"/>
          </w:tcPr>
          <w:p w:rsidR="00415792" w:rsidRPr="008E2DD7" w:rsidRDefault="00415792" w:rsidP="00415792">
            <w:pPr>
              <w:ind w:firstLineChars="200" w:firstLine="31680"/>
              <w:jc w:val="both"/>
              <w:rPr>
                <w:rFonts w:eastAsia="標楷體"/>
              </w:rPr>
            </w:pPr>
            <w:r w:rsidRPr="008E2DD7">
              <w:rPr>
                <w:rFonts w:eastAsia="標楷體" w:hint="eastAsia"/>
              </w:rPr>
              <w:t>本推薦證券商參酌一般市場認購價格訂定方式，評估市價法、成本法及現金流量折現法等評價方式，以推算合理之股票價格，作為本推薦證券商認購該公司興櫃股票價格之訂定依據；再參酌該公司產業概況、經營績效、發行市場環境及同業市場狀況等因素後，由本推薦證券商與該公司共同議定之。</w:t>
            </w:r>
          </w:p>
          <w:p w:rsidR="00415792" w:rsidRPr="008E2DD7" w:rsidRDefault="00415792" w:rsidP="00415792">
            <w:pPr>
              <w:ind w:firstLineChars="200" w:firstLine="31680"/>
              <w:jc w:val="both"/>
              <w:rPr>
                <w:rFonts w:eastAsia="標楷體"/>
              </w:rPr>
            </w:pPr>
            <w:r w:rsidRPr="008E2DD7">
              <w:rPr>
                <w:rFonts w:eastAsia="標楷體" w:hint="eastAsia"/>
              </w:rPr>
              <w:t>市價法有本益比法及股價淨值比法，皆係透過已公開資訊，與整個市場、產業性質相近同業及被評價公司歷史軌跡比較，以衡量企業的價值，再依據被評價公司本身異於採樣公司部分作折溢價調整；成本法為以帳面歷史成本作為公司價值評定基礎的淨值法；現金流量折現法係根據該公司未來預估之獲利及現金流量，以涵蓋風險的折現率來折算現金流量，同時考慮實質現金及貨幣之時間價值。然而，成本法易忽略通貨膨脹因素且無法表達目前真正之經濟貢獻值，且深受財務報表所採行之會計原則與方法之影響，將可能低估成長型公司應有之價值，故國際上採用成本法評估企業價值者不多見；現金流量折現法主係以未來各期創造現金流量之折現值合計認定為股東權益，然因未來現金流量無法精確掌握，評價使用之相關參數無一致標準，可能無法合理評估公司應有之價值，實務上較少採用，故本次推薦證券商認購山林水公司股票係以市價法進行評估。</w:t>
            </w:r>
          </w:p>
          <w:p w:rsidR="00415792" w:rsidRPr="008E2DD7" w:rsidRDefault="00415792" w:rsidP="00415792">
            <w:pPr>
              <w:ind w:firstLineChars="200" w:firstLine="31680"/>
              <w:jc w:val="both"/>
              <w:rPr>
                <w:rFonts w:eastAsia="標楷體"/>
              </w:rPr>
            </w:pPr>
            <w:r w:rsidRPr="008E2DD7">
              <w:rPr>
                <w:rFonts w:eastAsia="標楷體" w:hint="eastAsia"/>
              </w:rPr>
              <w:t>山林水公司於</w:t>
            </w:r>
            <w:r w:rsidRPr="008E2DD7">
              <w:rPr>
                <w:rFonts w:eastAsia="標楷體"/>
              </w:rPr>
              <w:t>93</w:t>
            </w:r>
            <w:r w:rsidRPr="008E2DD7">
              <w:rPr>
                <w:rFonts w:eastAsia="標楷體" w:hint="eastAsia"/>
              </w:rPr>
              <w:t>年</w:t>
            </w:r>
            <w:r w:rsidRPr="008E2DD7">
              <w:rPr>
                <w:rFonts w:eastAsia="標楷體"/>
              </w:rPr>
              <w:t>6</w:t>
            </w:r>
            <w:r w:rsidRPr="008E2DD7">
              <w:rPr>
                <w:rFonts w:eastAsia="標楷體" w:hint="eastAsia"/>
              </w:rPr>
              <w:t>月設立，創立之時以污水處理工程承攬施工及污水處理廠操作營運為主，即承接政府污水處理相關之工程及操作營運標案，目前營業項目包括「水處理工程承攬」、「水處理操作維護」及「服務特許權」。經參酌目前上市（櫃）公司中產品項目、商業模式、資本額及營業規模等條件相近之公司，選取中宇</w:t>
            </w:r>
            <w:r w:rsidRPr="008E2DD7">
              <w:rPr>
                <w:rFonts w:eastAsia="標楷體"/>
              </w:rPr>
              <w:t>(</w:t>
            </w:r>
            <w:r w:rsidRPr="008E2DD7">
              <w:rPr>
                <w:rFonts w:eastAsia="標楷體" w:hint="eastAsia"/>
              </w:rPr>
              <w:t>上市公司，股票代號：</w:t>
            </w:r>
            <w:r w:rsidRPr="008E2DD7">
              <w:rPr>
                <w:rFonts w:eastAsia="標楷體"/>
              </w:rPr>
              <w:t>1535)</w:t>
            </w:r>
            <w:r w:rsidRPr="008E2DD7">
              <w:rPr>
                <w:rFonts w:eastAsia="標楷體" w:hint="eastAsia"/>
              </w:rPr>
              <w:t>、崑鼎</w:t>
            </w:r>
            <w:r w:rsidRPr="008E2DD7">
              <w:rPr>
                <w:rFonts w:eastAsia="標楷體"/>
              </w:rPr>
              <w:t>(</w:t>
            </w:r>
            <w:r w:rsidRPr="008E2DD7">
              <w:rPr>
                <w:rFonts w:eastAsia="標楷體" w:hint="eastAsia"/>
              </w:rPr>
              <w:t>上櫃公司，股票代號：</w:t>
            </w:r>
            <w:r w:rsidRPr="008E2DD7">
              <w:rPr>
                <w:rFonts w:eastAsia="標楷體"/>
              </w:rPr>
              <w:t>6803)</w:t>
            </w:r>
            <w:r w:rsidRPr="008E2DD7">
              <w:rPr>
                <w:rFonts w:eastAsia="標楷體" w:hint="eastAsia"/>
              </w:rPr>
              <w:t>及國統</w:t>
            </w:r>
            <w:r w:rsidRPr="008E2DD7">
              <w:rPr>
                <w:rFonts w:eastAsia="標楷體"/>
              </w:rPr>
              <w:t>(</w:t>
            </w:r>
            <w:r w:rsidRPr="008E2DD7">
              <w:rPr>
                <w:rFonts w:eastAsia="標楷體" w:hint="eastAsia"/>
              </w:rPr>
              <w:t>上櫃公司，股票代號：</w:t>
            </w:r>
            <w:r w:rsidRPr="008E2DD7">
              <w:rPr>
                <w:rFonts w:eastAsia="標楷體"/>
              </w:rPr>
              <w:t>8936)</w:t>
            </w:r>
            <w:r w:rsidRPr="008E2DD7">
              <w:rPr>
                <w:rFonts w:eastAsia="標楷體" w:hint="eastAsia"/>
              </w:rPr>
              <w:t>作為採樣公司。茲就本推薦證券商採用本益比法及股價淨值法之訂價依據分述如下：</w:t>
            </w:r>
          </w:p>
          <w:p w:rsidR="00415792" w:rsidRPr="008E2DD7" w:rsidRDefault="00415792" w:rsidP="00415792">
            <w:pPr>
              <w:ind w:firstLineChars="200" w:firstLine="31680"/>
              <w:jc w:val="both"/>
              <w:rPr>
                <w:rFonts w:eastAsia="標楷體"/>
                <w:kern w:val="0"/>
              </w:rPr>
            </w:pPr>
            <w:r w:rsidRPr="008E2DD7">
              <w:rPr>
                <w:rFonts w:eastAsia="標楷體"/>
                <w:kern w:val="0"/>
              </w:rPr>
              <w:t>1.</w:t>
            </w:r>
            <w:r w:rsidRPr="008E2DD7">
              <w:rPr>
                <w:rFonts w:eastAsia="標楷體" w:hint="eastAsia"/>
                <w:kern w:val="0"/>
              </w:rPr>
              <w:t>本益比法</w:t>
            </w:r>
          </w:p>
          <w:p w:rsidR="00415792" w:rsidRPr="008E2DD7" w:rsidRDefault="00415792" w:rsidP="00415792">
            <w:pPr>
              <w:ind w:leftChars="300" w:left="31680" w:firstLineChars="200" w:firstLine="31680"/>
              <w:jc w:val="both"/>
              <w:rPr>
                <w:rFonts w:eastAsia="標楷體"/>
                <w:kern w:val="0"/>
              </w:rPr>
            </w:pPr>
            <w:r w:rsidRPr="008E2DD7">
              <w:rPr>
                <w:rFonts w:eastAsia="標楷體" w:hint="eastAsia"/>
                <w:kern w:val="0"/>
              </w:rPr>
              <w:t>取得採樣公司及上市櫃其他類股</w:t>
            </w:r>
            <w:r w:rsidRPr="008E2DD7">
              <w:rPr>
                <w:rFonts w:eastAsia="標楷體"/>
                <w:bCs/>
                <w:kern w:val="0"/>
                <w:lang w:val="en-GB"/>
              </w:rPr>
              <w:t>103</w:t>
            </w:r>
            <w:r w:rsidRPr="008E2DD7">
              <w:rPr>
                <w:rFonts w:eastAsia="標楷體" w:hint="eastAsia"/>
                <w:bCs/>
                <w:kern w:val="0"/>
                <w:lang w:val="en-GB"/>
              </w:rPr>
              <w:t>年</w:t>
            </w:r>
            <w:r w:rsidRPr="008E2DD7">
              <w:rPr>
                <w:rFonts w:eastAsia="標楷體"/>
                <w:bCs/>
                <w:kern w:val="0"/>
                <w:lang w:val="en-GB"/>
              </w:rPr>
              <w:t>12</w:t>
            </w:r>
            <w:r w:rsidRPr="008E2DD7">
              <w:rPr>
                <w:rFonts w:eastAsia="標楷體" w:hint="eastAsia"/>
                <w:bCs/>
                <w:kern w:val="0"/>
                <w:lang w:val="en-GB"/>
              </w:rPr>
              <w:t>月至</w:t>
            </w:r>
            <w:r w:rsidRPr="008E2DD7">
              <w:rPr>
                <w:rFonts w:eastAsia="標楷體"/>
                <w:bCs/>
                <w:kern w:val="0"/>
                <w:lang w:val="en-GB"/>
              </w:rPr>
              <w:t>104</w:t>
            </w:r>
            <w:r w:rsidRPr="008E2DD7">
              <w:rPr>
                <w:rFonts w:eastAsia="標楷體" w:hint="eastAsia"/>
                <w:bCs/>
                <w:kern w:val="0"/>
                <w:lang w:val="en-GB"/>
              </w:rPr>
              <w:t>年</w:t>
            </w:r>
            <w:r w:rsidRPr="008E2DD7">
              <w:rPr>
                <w:rFonts w:eastAsia="標楷體"/>
                <w:bCs/>
                <w:kern w:val="0"/>
                <w:lang w:val="en-GB"/>
              </w:rPr>
              <w:t>2</w:t>
            </w:r>
            <w:r w:rsidRPr="008E2DD7">
              <w:rPr>
                <w:rFonts w:eastAsia="標楷體" w:hint="eastAsia"/>
                <w:bCs/>
                <w:kern w:val="0"/>
                <w:lang w:val="en-GB"/>
              </w:rPr>
              <w:t>月</w:t>
            </w:r>
            <w:r w:rsidRPr="008E2DD7">
              <w:rPr>
                <w:rFonts w:eastAsia="標楷體" w:hint="eastAsia"/>
                <w:kern w:val="0"/>
              </w:rPr>
              <w:t>之平均本益比，得出採樣公司及上市櫃其他類股之本益比區間，再按山林水公司</w:t>
            </w:r>
            <w:r w:rsidRPr="008E2DD7">
              <w:rPr>
                <w:rFonts w:eastAsia="標楷體"/>
                <w:kern w:val="0"/>
              </w:rPr>
              <w:t>103</w:t>
            </w:r>
            <w:r w:rsidRPr="008E2DD7">
              <w:rPr>
                <w:rFonts w:eastAsia="標楷體" w:hint="eastAsia"/>
                <w:kern w:val="0"/>
              </w:rPr>
              <w:t>年度自結每股盈餘推算價格區間。</w:t>
            </w:r>
            <w:r w:rsidRPr="008E2DD7">
              <w:rPr>
                <w:rFonts w:eastAsia="標楷體" w:hint="eastAsia"/>
                <w:bCs/>
                <w:kern w:val="0"/>
                <w:lang w:val="en-GB"/>
              </w:rPr>
              <w:t>採樣公司</w:t>
            </w:r>
            <w:r w:rsidRPr="008E2DD7">
              <w:rPr>
                <w:rFonts w:eastAsia="標楷體" w:hint="eastAsia"/>
                <w:kern w:val="0"/>
              </w:rPr>
              <w:t>及上市櫃其他類股</w:t>
            </w:r>
            <w:r w:rsidRPr="008E2DD7">
              <w:rPr>
                <w:rFonts w:eastAsia="標楷體"/>
                <w:bCs/>
                <w:kern w:val="0"/>
                <w:lang w:val="en-GB"/>
              </w:rPr>
              <w:t>103</w:t>
            </w:r>
            <w:r w:rsidRPr="008E2DD7">
              <w:rPr>
                <w:rFonts w:eastAsia="標楷體" w:hint="eastAsia"/>
                <w:bCs/>
                <w:kern w:val="0"/>
                <w:lang w:val="en-GB"/>
              </w:rPr>
              <w:t>年</w:t>
            </w:r>
            <w:r w:rsidRPr="008E2DD7">
              <w:rPr>
                <w:rFonts w:eastAsia="標楷體"/>
                <w:bCs/>
                <w:kern w:val="0"/>
                <w:lang w:val="en-GB"/>
              </w:rPr>
              <w:t>12</w:t>
            </w:r>
            <w:r w:rsidRPr="008E2DD7">
              <w:rPr>
                <w:rFonts w:eastAsia="標楷體" w:hint="eastAsia"/>
                <w:bCs/>
                <w:kern w:val="0"/>
                <w:lang w:val="en-GB"/>
              </w:rPr>
              <w:t>月至</w:t>
            </w:r>
            <w:r w:rsidRPr="008E2DD7">
              <w:rPr>
                <w:rFonts w:eastAsia="標楷體"/>
                <w:bCs/>
                <w:kern w:val="0"/>
                <w:lang w:val="en-GB"/>
              </w:rPr>
              <w:t>104</w:t>
            </w:r>
            <w:r w:rsidRPr="008E2DD7">
              <w:rPr>
                <w:rFonts w:eastAsia="標楷體" w:hint="eastAsia"/>
                <w:bCs/>
                <w:kern w:val="0"/>
                <w:lang w:val="en-GB"/>
              </w:rPr>
              <w:t>年</w:t>
            </w:r>
            <w:r w:rsidRPr="008E2DD7">
              <w:rPr>
                <w:rFonts w:eastAsia="標楷體"/>
                <w:bCs/>
                <w:kern w:val="0"/>
                <w:lang w:val="en-GB"/>
              </w:rPr>
              <w:t>2</w:t>
            </w:r>
            <w:r w:rsidRPr="008E2DD7">
              <w:rPr>
                <w:rFonts w:eastAsia="標楷體" w:hint="eastAsia"/>
                <w:bCs/>
                <w:kern w:val="0"/>
                <w:lang w:val="en-GB"/>
              </w:rPr>
              <w:t>月本益比如下：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236"/>
              <w:gridCol w:w="1236"/>
              <w:gridCol w:w="1236"/>
              <w:gridCol w:w="1236"/>
            </w:tblGrid>
            <w:tr w:rsidR="00415792" w:rsidRPr="008E2DD7" w:rsidTr="009A79F1">
              <w:tc>
                <w:tcPr>
                  <w:tcW w:w="1750" w:type="dxa"/>
                  <w:tcBorders>
                    <w:top w:val="single" w:sz="4" w:space="0" w:color="auto"/>
                    <w:left w:val="single" w:sz="4" w:space="0" w:color="auto"/>
                    <w:bottom w:val="single" w:sz="4" w:space="0" w:color="auto"/>
                    <w:right w:val="single" w:sz="4" w:space="0" w:color="auto"/>
                    <w:tl2br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hint="eastAsia"/>
                      <w:kern w:val="0"/>
                    </w:rPr>
                    <w:t>月份</w:t>
                  </w:r>
                </w:p>
                <w:p w:rsidR="00415792" w:rsidRPr="008E2DD7" w:rsidRDefault="00415792" w:rsidP="00181B1C">
                  <w:pPr>
                    <w:pStyle w:val="BodyTextIndent"/>
                    <w:overflowPunct w:val="0"/>
                    <w:spacing w:after="0"/>
                    <w:ind w:leftChars="0" w:left="0"/>
                    <w:jc w:val="both"/>
                    <w:rPr>
                      <w:rFonts w:eastAsia="標楷體"/>
                      <w:kern w:val="0"/>
                    </w:rPr>
                  </w:pPr>
                  <w:r w:rsidRPr="008E2DD7">
                    <w:rPr>
                      <w:rFonts w:eastAsia="標楷體" w:hint="eastAsia"/>
                      <w:kern w:val="0"/>
                    </w:rPr>
                    <w:t>公司</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pStyle w:val="BodyTextIndent"/>
                    <w:overflowPunct w:val="0"/>
                    <w:spacing w:after="0"/>
                    <w:ind w:leftChars="0" w:left="0"/>
                    <w:jc w:val="center"/>
                    <w:rPr>
                      <w:rFonts w:eastAsia="標楷體"/>
                      <w:kern w:val="0"/>
                    </w:rPr>
                  </w:pPr>
                  <w:r w:rsidRPr="008E2DD7">
                    <w:rPr>
                      <w:rFonts w:eastAsia="標楷體"/>
                      <w:kern w:val="0"/>
                    </w:rPr>
                    <w:t>103/12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pStyle w:val="BodyTextIndent"/>
                    <w:overflowPunct w:val="0"/>
                    <w:spacing w:after="0"/>
                    <w:ind w:leftChars="0" w:left="0"/>
                    <w:jc w:val="center"/>
                    <w:rPr>
                      <w:rFonts w:eastAsia="標楷體"/>
                      <w:kern w:val="0"/>
                    </w:rPr>
                  </w:pPr>
                  <w:r w:rsidRPr="008E2DD7">
                    <w:rPr>
                      <w:rFonts w:eastAsia="標楷體"/>
                      <w:kern w:val="0"/>
                    </w:rPr>
                    <w:t>104/01</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4262">
                  <w:pPr>
                    <w:pStyle w:val="BodyTextIndent"/>
                    <w:overflowPunct w:val="0"/>
                    <w:spacing w:after="0"/>
                    <w:ind w:leftChars="0" w:left="0"/>
                    <w:jc w:val="center"/>
                    <w:rPr>
                      <w:rFonts w:eastAsia="標楷體"/>
                      <w:kern w:val="0"/>
                    </w:rPr>
                  </w:pPr>
                  <w:r w:rsidRPr="008E2DD7">
                    <w:rPr>
                      <w:rFonts w:eastAsia="標楷體"/>
                      <w:kern w:val="0"/>
                    </w:rPr>
                    <w:t>104/02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181B1C">
                  <w:pPr>
                    <w:pStyle w:val="BodyTextIndent"/>
                    <w:overflowPunct w:val="0"/>
                    <w:spacing w:after="0"/>
                    <w:ind w:leftChars="0" w:left="0"/>
                    <w:jc w:val="center"/>
                    <w:rPr>
                      <w:rFonts w:eastAsia="標楷體"/>
                      <w:kern w:val="0"/>
                    </w:rPr>
                  </w:pPr>
                  <w:r w:rsidRPr="008E2DD7">
                    <w:rPr>
                      <w:rFonts w:eastAsia="標楷體" w:hint="eastAsia"/>
                      <w:kern w:val="0"/>
                    </w:rPr>
                    <w:t>平均</w:t>
                  </w:r>
                </w:p>
              </w:tc>
            </w:tr>
            <w:tr w:rsidR="00415792" w:rsidRPr="008E2DD7" w:rsidTr="009A79F1">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300386">
                  <w:pPr>
                    <w:pStyle w:val="BodyTextIndent"/>
                    <w:overflowPunct w:val="0"/>
                    <w:spacing w:after="0"/>
                    <w:ind w:leftChars="0" w:left="0"/>
                    <w:jc w:val="center"/>
                    <w:rPr>
                      <w:rFonts w:eastAsia="標楷體"/>
                      <w:kern w:val="0"/>
                    </w:rPr>
                  </w:pPr>
                  <w:r w:rsidRPr="008E2DD7">
                    <w:rPr>
                      <w:rFonts w:eastAsia="標楷體" w:hint="eastAsia"/>
                      <w:kern w:val="0"/>
                    </w:rPr>
                    <w:t>中宇</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jc w:val="right"/>
                    <w:rPr>
                      <w:rFonts w:eastAsia="標楷體"/>
                      <w:color w:val="000000"/>
                    </w:rPr>
                  </w:pPr>
                  <w:r w:rsidRPr="008E2DD7">
                    <w:rPr>
                      <w:rFonts w:eastAsia="標楷體"/>
                      <w:color w:val="000000"/>
                    </w:rPr>
                    <w:t>13.60</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jc w:val="right"/>
                    <w:rPr>
                      <w:rFonts w:eastAsia="標楷體"/>
                      <w:color w:val="000000"/>
                    </w:rPr>
                  </w:pPr>
                  <w:r w:rsidRPr="008E2DD7">
                    <w:rPr>
                      <w:rFonts w:eastAsia="標楷體"/>
                      <w:color w:val="000000"/>
                    </w:rPr>
                    <w:t>13.69</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13.41</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13.57</w:t>
                  </w:r>
                </w:p>
              </w:tc>
            </w:tr>
            <w:tr w:rsidR="00415792" w:rsidRPr="008E2DD7" w:rsidTr="009A79F1">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300386">
                  <w:pPr>
                    <w:pStyle w:val="BodyTextIndent"/>
                    <w:overflowPunct w:val="0"/>
                    <w:spacing w:after="0"/>
                    <w:ind w:leftChars="0" w:left="0"/>
                    <w:jc w:val="center"/>
                    <w:rPr>
                      <w:rFonts w:eastAsia="標楷體"/>
                      <w:kern w:val="0"/>
                    </w:rPr>
                  </w:pPr>
                  <w:r w:rsidRPr="008E2DD7">
                    <w:rPr>
                      <w:rFonts w:eastAsia="標楷體" w:hint="eastAsia"/>
                      <w:kern w:val="0"/>
                    </w:rPr>
                    <w:t>崑鼎</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jc w:val="right"/>
                    <w:rPr>
                      <w:rFonts w:eastAsia="標楷體"/>
                      <w:color w:val="000000"/>
                    </w:rPr>
                  </w:pPr>
                  <w:r w:rsidRPr="008E2DD7">
                    <w:rPr>
                      <w:rFonts w:eastAsia="標楷體"/>
                      <w:color w:val="000000"/>
                    </w:rPr>
                    <w:t>16.21</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jc w:val="right"/>
                    <w:rPr>
                      <w:rFonts w:eastAsia="標楷體"/>
                      <w:color w:val="000000"/>
                    </w:rPr>
                  </w:pPr>
                  <w:r w:rsidRPr="008E2DD7">
                    <w:rPr>
                      <w:rFonts w:eastAsia="標楷體"/>
                      <w:color w:val="000000"/>
                    </w:rPr>
                    <w:t>16.30</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16.42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16.31</w:t>
                  </w:r>
                </w:p>
              </w:tc>
            </w:tr>
            <w:tr w:rsidR="00415792" w:rsidRPr="008E2DD7" w:rsidTr="009A79F1">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300386">
                  <w:pPr>
                    <w:pStyle w:val="BodyTextIndent"/>
                    <w:overflowPunct w:val="0"/>
                    <w:spacing w:after="0"/>
                    <w:ind w:leftChars="0" w:left="0"/>
                    <w:jc w:val="center"/>
                    <w:rPr>
                      <w:rFonts w:eastAsia="標楷體"/>
                      <w:kern w:val="0"/>
                    </w:rPr>
                  </w:pPr>
                  <w:r w:rsidRPr="008E2DD7">
                    <w:rPr>
                      <w:rFonts w:eastAsia="標楷體" w:hint="eastAsia"/>
                      <w:kern w:val="0"/>
                    </w:rPr>
                    <w:t>國統</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jc w:val="right"/>
                    <w:rPr>
                      <w:rFonts w:eastAsia="標楷體"/>
                      <w:color w:val="000000"/>
                    </w:rPr>
                  </w:pPr>
                  <w:r w:rsidRPr="008E2DD7">
                    <w:rPr>
                      <w:rFonts w:eastAsia="標楷體"/>
                      <w:color w:val="000000"/>
                    </w:rPr>
                    <w:t>15.10</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096FE3">
                  <w:pPr>
                    <w:jc w:val="right"/>
                    <w:rPr>
                      <w:rFonts w:eastAsia="標楷體"/>
                      <w:color w:val="000000"/>
                    </w:rPr>
                  </w:pPr>
                  <w:r w:rsidRPr="008E2DD7">
                    <w:rPr>
                      <w:rFonts w:eastAsia="標楷體"/>
                      <w:color w:val="000000"/>
                    </w:rPr>
                    <w:t>15.46</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15.43</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15.33</w:t>
                  </w:r>
                </w:p>
              </w:tc>
            </w:tr>
            <w:tr w:rsidR="00415792" w:rsidRPr="008E2DD7" w:rsidTr="00856635">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1F21FF">
                  <w:pPr>
                    <w:pStyle w:val="BodyTextIndent"/>
                    <w:overflowPunct w:val="0"/>
                    <w:spacing w:after="0"/>
                    <w:ind w:leftChars="0" w:left="0"/>
                    <w:rPr>
                      <w:rFonts w:eastAsia="標楷體"/>
                      <w:kern w:val="0"/>
                    </w:rPr>
                  </w:pPr>
                  <w:r w:rsidRPr="008E2DD7">
                    <w:rPr>
                      <w:rFonts w:eastAsia="標楷體" w:hint="eastAsia"/>
                      <w:kern w:val="0"/>
                    </w:rPr>
                    <w:t>上櫃</w:t>
                  </w:r>
                  <w:r w:rsidRPr="008E2DD7">
                    <w:rPr>
                      <w:rFonts w:eastAsia="標楷體"/>
                      <w:kern w:val="0"/>
                    </w:rPr>
                    <w:t>-</w:t>
                  </w:r>
                  <w:r w:rsidRPr="008E2DD7">
                    <w:rPr>
                      <w:rFonts w:eastAsia="標楷體" w:hint="eastAsia"/>
                      <w:kern w:val="0"/>
                    </w:rPr>
                    <w:t>其他類</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21.32</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20.73</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20.87</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20.97</w:t>
                  </w:r>
                </w:p>
              </w:tc>
            </w:tr>
            <w:tr w:rsidR="00415792" w:rsidRPr="008E2DD7" w:rsidTr="00856635">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1F21FF">
                  <w:pPr>
                    <w:pStyle w:val="BodyTextIndent"/>
                    <w:overflowPunct w:val="0"/>
                    <w:spacing w:after="0"/>
                    <w:ind w:leftChars="0" w:left="0"/>
                    <w:rPr>
                      <w:rFonts w:eastAsia="標楷體"/>
                      <w:kern w:val="0"/>
                    </w:rPr>
                  </w:pPr>
                  <w:r w:rsidRPr="008E2DD7">
                    <w:rPr>
                      <w:rFonts w:eastAsia="標楷體" w:hint="eastAsia"/>
                      <w:kern w:val="0"/>
                    </w:rPr>
                    <w:t>上市</w:t>
                  </w:r>
                  <w:r w:rsidRPr="008E2DD7">
                    <w:rPr>
                      <w:rFonts w:eastAsia="標楷體"/>
                      <w:kern w:val="0"/>
                    </w:rPr>
                    <w:t>-</w:t>
                  </w:r>
                  <w:r w:rsidRPr="008E2DD7">
                    <w:rPr>
                      <w:rFonts w:eastAsia="標楷體" w:hint="eastAsia"/>
                      <w:kern w:val="0"/>
                    </w:rPr>
                    <w:t>其他類</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11.04</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11.39</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11.99</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11.47</w:t>
                  </w:r>
                </w:p>
              </w:tc>
            </w:tr>
          </w:tbl>
          <w:p w:rsidR="00415792" w:rsidRPr="008E2DD7" w:rsidRDefault="00415792" w:rsidP="00415792">
            <w:pPr>
              <w:spacing w:after="240"/>
              <w:ind w:leftChars="309" w:left="31680"/>
              <w:rPr>
                <w:rFonts w:eastAsia="標楷體"/>
                <w:kern w:val="0"/>
              </w:rPr>
            </w:pPr>
            <w:r w:rsidRPr="008E2DD7">
              <w:rPr>
                <w:rFonts w:eastAsia="標楷體" w:hint="eastAsia"/>
                <w:kern w:val="0"/>
              </w:rPr>
              <w:t>資料來源</w:t>
            </w:r>
            <w:r w:rsidRPr="008E2DD7">
              <w:rPr>
                <w:rFonts w:eastAsia="標楷體"/>
                <w:kern w:val="0"/>
              </w:rPr>
              <w:t>:</w:t>
            </w:r>
            <w:r w:rsidRPr="008E2DD7">
              <w:rPr>
                <w:rFonts w:eastAsia="標楷體" w:hint="eastAsia"/>
                <w:kern w:val="0"/>
              </w:rPr>
              <w:t>台灣證券交易所及財團法人證券櫃檯買賣中心</w:t>
            </w:r>
          </w:p>
          <w:p w:rsidR="00415792" w:rsidRPr="008E2DD7" w:rsidRDefault="00415792" w:rsidP="00415792">
            <w:pPr>
              <w:ind w:leftChars="300" w:left="31680" w:firstLineChars="200" w:firstLine="31680"/>
              <w:jc w:val="both"/>
              <w:rPr>
                <w:rFonts w:eastAsia="標楷體"/>
                <w:kern w:val="0"/>
              </w:rPr>
            </w:pPr>
            <w:r w:rsidRPr="008E2DD7">
              <w:rPr>
                <w:rFonts w:eastAsia="標楷體" w:hint="eastAsia"/>
                <w:kern w:val="0"/>
              </w:rPr>
              <w:t>採樣公司及上市櫃其他類股</w:t>
            </w:r>
            <w:r w:rsidRPr="008E2DD7">
              <w:rPr>
                <w:rFonts w:eastAsia="標楷體"/>
                <w:bCs/>
                <w:kern w:val="0"/>
                <w:lang w:val="en-GB"/>
              </w:rPr>
              <w:t>103</w:t>
            </w:r>
            <w:r w:rsidRPr="008E2DD7">
              <w:rPr>
                <w:rFonts w:eastAsia="標楷體" w:hint="eastAsia"/>
                <w:bCs/>
                <w:kern w:val="0"/>
                <w:lang w:val="en-GB"/>
              </w:rPr>
              <w:t>年</w:t>
            </w:r>
            <w:r w:rsidRPr="008E2DD7">
              <w:rPr>
                <w:rFonts w:eastAsia="標楷體"/>
                <w:bCs/>
                <w:kern w:val="0"/>
                <w:lang w:val="en-GB"/>
              </w:rPr>
              <w:t>12</w:t>
            </w:r>
            <w:r w:rsidRPr="008E2DD7">
              <w:rPr>
                <w:rFonts w:eastAsia="標楷體" w:hint="eastAsia"/>
                <w:bCs/>
                <w:kern w:val="0"/>
                <w:lang w:val="en-GB"/>
              </w:rPr>
              <w:t>月至</w:t>
            </w:r>
            <w:r w:rsidRPr="008E2DD7">
              <w:rPr>
                <w:rFonts w:eastAsia="標楷體"/>
                <w:bCs/>
                <w:kern w:val="0"/>
                <w:lang w:val="en-GB"/>
              </w:rPr>
              <w:t>104</w:t>
            </w:r>
            <w:r w:rsidRPr="008E2DD7">
              <w:rPr>
                <w:rFonts w:eastAsia="標楷體" w:hint="eastAsia"/>
                <w:bCs/>
                <w:kern w:val="0"/>
                <w:lang w:val="en-GB"/>
              </w:rPr>
              <w:t>年</w:t>
            </w:r>
            <w:r w:rsidRPr="008E2DD7">
              <w:rPr>
                <w:rFonts w:eastAsia="標楷體"/>
                <w:bCs/>
                <w:kern w:val="0"/>
                <w:lang w:val="en-GB"/>
              </w:rPr>
              <w:t>2</w:t>
            </w:r>
            <w:r w:rsidRPr="008E2DD7">
              <w:rPr>
                <w:rFonts w:eastAsia="標楷體" w:hint="eastAsia"/>
                <w:bCs/>
                <w:kern w:val="0"/>
                <w:lang w:val="en-GB"/>
              </w:rPr>
              <w:t>月</w:t>
            </w:r>
            <w:r w:rsidRPr="008E2DD7">
              <w:rPr>
                <w:rFonts w:eastAsia="標楷體" w:hint="eastAsia"/>
                <w:kern w:val="0"/>
              </w:rPr>
              <w:t>之平均本益比為</w:t>
            </w:r>
            <w:r w:rsidRPr="008E2DD7">
              <w:rPr>
                <w:rFonts w:eastAsia="標楷體"/>
                <w:kern w:val="0"/>
              </w:rPr>
              <w:t>11.47</w:t>
            </w:r>
            <w:r w:rsidRPr="008E2DD7">
              <w:rPr>
                <w:rFonts w:eastAsia="標楷體" w:hint="eastAsia"/>
                <w:kern w:val="0"/>
              </w:rPr>
              <w:t>倍</w:t>
            </w:r>
            <w:r w:rsidRPr="008E2DD7">
              <w:rPr>
                <w:rFonts w:eastAsia="標楷體"/>
                <w:kern w:val="0"/>
              </w:rPr>
              <w:t>~20.97</w:t>
            </w:r>
            <w:r w:rsidRPr="008E2DD7">
              <w:rPr>
                <w:rFonts w:eastAsia="標楷體" w:hint="eastAsia"/>
                <w:kern w:val="0"/>
              </w:rPr>
              <w:t>倍。該公司</w:t>
            </w:r>
            <w:r w:rsidRPr="008E2DD7">
              <w:rPr>
                <w:rFonts w:eastAsia="標楷體"/>
                <w:kern w:val="0"/>
              </w:rPr>
              <w:t>103</w:t>
            </w:r>
            <w:r w:rsidRPr="008E2DD7">
              <w:rPr>
                <w:rFonts w:eastAsia="標楷體" w:hint="eastAsia"/>
                <w:kern w:val="0"/>
              </w:rPr>
              <w:t>年度之自結每股盈餘為</w:t>
            </w:r>
            <w:r w:rsidRPr="008E2DD7">
              <w:rPr>
                <w:rFonts w:eastAsia="標楷體"/>
                <w:kern w:val="0"/>
              </w:rPr>
              <w:t>2.83</w:t>
            </w:r>
            <w:r w:rsidRPr="008E2DD7">
              <w:rPr>
                <w:rFonts w:eastAsia="標楷體" w:hint="eastAsia"/>
                <w:kern w:val="0"/>
              </w:rPr>
              <w:t>元，參考價格區間約為每股</w:t>
            </w:r>
            <w:r w:rsidRPr="008E2DD7">
              <w:rPr>
                <w:rFonts w:eastAsia="標楷體"/>
                <w:kern w:val="0"/>
              </w:rPr>
              <w:t>32.46</w:t>
            </w:r>
            <w:r w:rsidRPr="008E2DD7">
              <w:rPr>
                <w:rFonts w:eastAsia="標楷體" w:hint="eastAsia"/>
                <w:kern w:val="0"/>
              </w:rPr>
              <w:t>元</w:t>
            </w:r>
            <w:r w:rsidRPr="008E2DD7">
              <w:rPr>
                <w:rFonts w:eastAsia="標楷體"/>
                <w:kern w:val="0"/>
              </w:rPr>
              <w:t>~59.35</w:t>
            </w:r>
            <w:r w:rsidRPr="008E2DD7">
              <w:rPr>
                <w:rFonts w:eastAsia="標楷體" w:hint="eastAsia"/>
                <w:kern w:val="0"/>
              </w:rPr>
              <w:t>元。</w:t>
            </w:r>
          </w:p>
          <w:p w:rsidR="00415792" w:rsidRPr="008E2DD7" w:rsidRDefault="00415792" w:rsidP="00415792">
            <w:pPr>
              <w:ind w:firstLineChars="200" w:firstLine="31680"/>
              <w:jc w:val="both"/>
              <w:rPr>
                <w:rFonts w:eastAsia="標楷體"/>
                <w:kern w:val="0"/>
              </w:rPr>
            </w:pPr>
            <w:r w:rsidRPr="008E2DD7">
              <w:rPr>
                <w:rFonts w:eastAsia="標楷體"/>
                <w:kern w:val="0"/>
              </w:rPr>
              <w:t>2.</w:t>
            </w:r>
            <w:r w:rsidRPr="008E2DD7">
              <w:rPr>
                <w:rFonts w:eastAsia="標楷體" w:hint="eastAsia"/>
                <w:kern w:val="0"/>
              </w:rPr>
              <w:t>股價淨值法</w:t>
            </w:r>
          </w:p>
          <w:p w:rsidR="00415792" w:rsidRPr="008E2DD7" w:rsidRDefault="00415792" w:rsidP="00415792">
            <w:pPr>
              <w:ind w:leftChars="300" w:left="31680" w:firstLineChars="200" w:firstLine="31680"/>
              <w:jc w:val="both"/>
              <w:rPr>
                <w:rFonts w:eastAsia="標楷體"/>
                <w:kern w:val="0"/>
              </w:rPr>
            </w:pPr>
            <w:r w:rsidRPr="008E2DD7">
              <w:rPr>
                <w:rFonts w:eastAsia="標楷體" w:hint="eastAsia"/>
                <w:kern w:val="0"/>
              </w:rPr>
              <w:t>取得採樣公司及上市櫃其他類股</w:t>
            </w:r>
            <w:r w:rsidRPr="008E2DD7">
              <w:rPr>
                <w:rFonts w:eastAsia="標楷體"/>
                <w:bCs/>
                <w:kern w:val="0"/>
                <w:lang w:val="en-GB"/>
              </w:rPr>
              <w:t>103</w:t>
            </w:r>
            <w:r w:rsidRPr="008E2DD7">
              <w:rPr>
                <w:rFonts w:eastAsia="標楷體" w:hint="eastAsia"/>
                <w:bCs/>
                <w:kern w:val="0"/>
                <w:lang w:val="en-GB"/>
              </w:rPr>
              <w:t>年</w:t>
            </w:r>
            <w:r w:rsidRPr="008E2DD7">
              <w:rPr>
                <w:rFonts w:eastAsia="標楷體"/>
                <w:bCs/>
                <w:kern w:val="0"/>
                <w:lang w:val="en-GB"/>
              </w:rPr>
              <w:t>12</w:t>
            </w:r>
            <w:r w:rsidRPr="008E2DD7">
              <w:rPr>
                <w:rFonts w:eastAsia="標楷體" w:hint="eastAsia"/>
                <w:bCs/>
                <w:kern w:val="0"/>
                <w:lang w:val="en-GB"/>
              </w:rPr>
              <w:t>月至</w:t>
            </w:r>
            <w:r w:rsidRPr="008E2DD7">
              <w:rPr>
                <w:rFonts w:eastAsia="標楷體"/>
                <w:bCs/>
                <w:kern w:val="0"/>
                <w:lang w:val="en-GB"/>
              </w:rPr>
              <w:t>104</w:t>
            </w:r>
            <w:r w:rsidRPr="008E2DD7">
              <w:rPr>
                <w:rFonts w:eastAsia="標楷體" w:hint="eastAsia"/>
                <w:bCs/>
                <w:kern w:val="0"/>
                <w:lang w:val="en-GB"/>
              </w:rPr>
              <w:t>年</w:t>
            </w:r>
            <w:r w:rsidRPr="008E2DD7">
              <w:rPr>
                <w:rFonts w:eastAsia="標楷體"/>
                <w:bCs/>
                <w:kern w:val="0"/>
                <w:lang w:val="en-GB"/>
              </w:rPr>
              <w:t>2</w:t>
            </w:r>
            <w:r w:rsidRPr="008E2DD7">
              <w:rPr>
                <w:rFonts w:eastAsia="標楷體" w:hint="eastAsia"/>
                <w:bCs/>
                <w:kern w:val="0"/>
                <w:lang w:val="en-GB"/>
              </w:rPr>
              <w:t>月</w:t>
            </w:r>
            <w:r w:rsidRPr="008E2DD7">
              <w:rPr>
                <w:rFonts w:eastAsia="標楷體" w:hint="eastAsia"/>
                <w:kern w:val="0"/>
              </w:rPr>
              <w:t>之平均股價淨值比，得出採樣公司及上市櫃其他類股之股價淨值比區間，再按山林水公司</w:t>
            </w:r>
            <w:r w:rsidRPr="008E2DD7">
              <w:rPr>
                <w:rFonts w:eastAsia="標楷體"/>
                <w:kern w:val="0"/>
              </w:rPr>
              <w:t>103</w:t>
            </w:r>
            <w:r w:rsidRPr="008E2DD7">
              <w:rPr>
                <w:rFonts w:eastAsia="標楷體" w:hint="eastAsia"/>
                <w:kern w:val="0"/>
              </w:rPr>
              <w:t>年度自結每股淨值推算價格區間。採樣同業及上市櫃其他類股</w:t>
            </w:r>
            <w:r w:rsidRPr="008E2DD7">
              <w:rPr>
                <w:rFonts w:eastAsia="標楷體"/>
                <w:bCs/>
                <w:kern w:val="0"/>
                <w:lang w:val="en-GB"/>
              </w:rPr>
              <w:t>103</w:t>
            </w:r>
            <w:r w:rsidRPr="008E2DD7">
              <w:rPr>
                <w:rFonts w:eastAsia="標楷體" w:hint="eastAsia"/>
                <w:bCs/>
                <w:kern w:val="0"/>
                <w:lang w:val="en-GB"/>
              </w:rPr>
              <w:t>年</w:t>
            </w:r>
            <w:r w:rsidRPr="008E2DD7">
              <w:rPr>
                <w:rFonts w:eastAsia="標楷體"/>
                <w:bCs/>
                <w:kern w:val="0"/>
                <w:lang w:val="en-GB"/>
              </w:rPr>
              <w:t>12</w:t>
            </w:r>
            <w:r w:rsidRPr="008E2DD7">
              <w:rPr>
                <w:rFonts w:eastAsia="標楷體" w:hint="eastAsia"/>
                <w:bCs/>
                <w:kern w:val="0"/>
                <w:lang w:val="en-GB"/>
              </w:rPr>
              <w:t>月至</w:t>
            </w:r>
            <w:r w:rsidRPr="008E2DD7">
              <w:rPr>
                <w:rFonts w:eastAsia="標楷體"/>
                <w:bCs/>
                <w:kern w:val="0"/>
                <w:lang w:val="en-GB"/>
              </w:rPr>
              <w:t>104</w:t>
            </w:r>
            <w:r w:rsidRPr="008E2DD7">
              <w:rPr>
                <w:rFonts w:eastAsia="標楷體" w:hint="eastAsia"/>
                <w:bCs/>
                <w:kern w:val="0"/>
                <w:lang w:val="en-GB"/>
              </w:rPr>
              <w:t>年</w:t>
            </w:r>
            <w:r w:rsidRPr="008E2DD7">
              <w:rPr>
                <w:rFonts w:eastAsia="標楷體"/>
                <w:bCs/>
                <w:kern w:val="0"/>
                <w:lang w:val="en-GB"/>
              </w:rPr>
              <w:t>2</w:t>
            </w:r>
            <w:r w:rsidRPr="008E2DD7">
              <w:rPr>
                <w:rFonts w:eastAsia="標楷體" w:hint="eastAsia"/>
                <w:bCs/>
                <w:kern w:val="0"/>
                <w:lang w:val="en-GB"/>
              </w:rPr>
              <w:t>月</w:t>
            </w:r>
            <w:r w:rsidRPr="008E2DD7">
              <w:rPr>
                <w:rFonts w:eastAsia="標楷體" w:hint="eastAsia"/>
                <w:kern w:val="0"/>
              </w:rPr>
              <w:t>股價淨值比資訊如下：</w:t>
            </w:r>
          </w:p>
          <w:p w:rsidR="00415792" w:rsidRPr="008E2DD7" w:rsidRDefault="00415792" w:rsidP="00415792">
            <w:pPr>
              <w:ind w:leftChars="300" w:left="31680" w:firstLineChars="200" w:firstLine="31680"/>
              <w:jc w:val="both"/>
              <w:rPr>
                <w:rFonts w:eastAsia="標楷體"/>
                <w:kern w:val="0"/>
              </w:rPr>
            </w:pPr>
          </w:p>
          <w:p w:rsidR="00415792" w:rsidRPr="008E2DD7" w:rsidRDefault="00415792" w:rsidP="00415792">
            <w:pPr>
              <w:ind w:leftChars="300" w:left="31680" w:firstLineChars="200" w:firstLine="31680"/>
              <w:jc w:val="both"/>
              <w:rPr>
                <w:rFonts w:eastAsia="標楷體"/>
                <w:kern w:val="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236"/>
              <w:gridCol w:w="1236"/>
              <w:gridCol w:w="1236"/>
              <w:gridCol w:w="1236"/>
            </w:tblGrid>
            <w:tr w:rsidR="00415792" w:rsidRPr="008E2DD7" w:rsidTr="001D06BD">
              <w:tc>
                <w:tcPr>
                  <w:tcW w:w="1750" w:type="dxa"/>
                  <w:tcBorders>
                    <w:top w:val="single" w:sz="4" w:space="0" w:color="auto"/>
                    <w:left w:val="single" w:sz="4" w:space="0" w:color="auto"/>
                    <w:bottom w:val="single" w:sz="4" w:space="0" w:color="auto"/>
                    <w:right w:val="single" w:sz="4" w:space="0" w:color="auto"/>
                    <w:tl2br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hint="eastAsia"/>
                      <w:kern w:val="0"/>
                    </w:rPr>
                    <w:t>月份</w:t>
                  </w:r>
                </w:p>
                <w:p w:rsidR="00415792" w:rsidRPr="008E2DD7" w:rsidRDefault="00415792" w:rsidP="00181B1C">
                  <w:pPr>
                    <w:pStyle w:val="BodyTextIndent"/>
                    <w:overflowPunct w:val="0"/>
                    <w:spacing w:after="0"/>
                    <w:ind w:leftChars="0" w:left="0"/>
                    <w:jc w:val="both"/>
                    <w:rPr>
                      <w:rFonts w:eastAsia="標楷體"/>
                      <w:kern w:val="0"/>
                    </w:rPr>
                  </w:pPr>
                  <w:r w:rsidRPr="008E2DD7">
                    <w:rPr>
                      <w:rFonts w:eastAsia="標楷體" w:hint="eastAsia"/>
                      <w:kern w:val="0"/>
                    </w:rPr>
                    <w:t>公司</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pStyle w:val="BodyTextIndent"/>
                    <w:overflowPunct w:val="0"/>
                    <w:spacing w:after="0"/>
                    <w:ind w:leftChars="0" w:left="0"/>
                    <w:jc w:val="center"/>
                    <w:rPr>
                      <w:rFonts w:eastAsia="標楷體"/>
                      <w:kern w:val="0"/>
                    </w:rPr>
                  </w:pPr>
                  <w:r w:rsidRPr="008E2DD7">
                    <w:rPr>
                      <w:rFonts w:eastAsia="標楷體"/>
                      <w:kern w:val="0"/>
                    </w:rPr>
                    <w:t>103/12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pStyle w:val="BodyTextIndent"/>
                    <w:overflowPunct w:val="0"/>
                    <w:spacing w:after="0"/>
                    <w:ind w:leftChars="0" w:left="0"/>
                    <w:jc w:val="center"/>
                    <w:rPr>
                      <w:rFonts w:eastAsia="標楷體"/>
                      <w:kern w:val="0"/>
                    </w:rPr>
                  </w:pPr>
                  <w:r w:rsidRPr="008E2DD7">
                    <w:rPr>
                      <w:rFonts w:eastAsia="標楷體"/>
                      <w:kern w:val="0"/>
                    </w:rPr>
                    <w:t>104/01</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181B1C">
                  <w:pPr>
                    <w:pStyle w:val="BodyTextIndent"/>
                    <w:overflowPunct w:val="0"/>
                    <w:spacing w:after="0"/>
                    <w:ind w:leftChars="0" w:left="0"/>
                    <w:jc w:val="center"/>
                    <w:rPr>
                      <w:rFonts w:eastAsia="標楷體"/>
                      <w:kern w:val="0"/>
                    </w:rPr>
                  </w:pPr>
                  <w:r w:rsidRPr="008E2DD7">
                    <w:rPr>
                      <w:rFonts w:eastAsia="標楷體"/>
                      <w:kern w:val="0"/>
                    </w:rPr>
                    <w:t>104/02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181B1C">
                  <w:pPr>
                    <w:pStyle w:val="BodyTextIndent"/>
                    <w:overflowPunct w:val="0"/>
                    <w:spacing w:after="0"/>
                    <w:ind w:leftChars="0" w:left="0"/>
                    <w:jc w:val="center"/>
                    <w:rPr>
                      <w:rFonts w:eastAsia="標楷體"/>
                      <w:kern w:val="0"/>
                    </w:rPr>
                  </w:pPr>
                  <w:r w:rsidRPr="008E2DD7">
                    <w:rPr>
                      <w:rFonts w:eastAsia="標楷體" w:hint="eastAsia"/>
                      <w:kern w:val="0"/>
                    </w:rPr>
                    <w:t>平均</w:t>
                  </w:r>
                </w:p>
              </w:tc>
            </w:tr>
            <w:tr w:rsidR="00415792" w:rsidRPr="008E2DD7" w:rsidTr="001D06BD">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D27561">
                  <w:pPr>
                    <w:pStyle w:val="BodyTextIndent"/>
                    <w:overflowPunct w:val="0"/>
                    <w:spacing w:after="0"/>
                    <w:ind w:leftChars="0" w:left="0"/>
                    <w:jc w:val="center"/>
                    <w:rPr>
                      <w:rFonts w:eastAsia="標楷體"/>
                      <w:kern w:val="0"/>
                    </w:rPr>
                  </w:pPr>
                  <w:r w:rsidRPr="008E2DD7">
                    <w:rPr>
                      <w:rFonts w:eastAsia="標楷體" w:hint="eastAsia"/>
                      <w:kern w:val="0"/>
                    </w:rPr>
                    <w:t>中宇</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jc w:val="right"/>
                    <w:rPr>
                      <w:rFonts w:eastAsia="標楷體"/>
                      <w:color w:val="000000"/>
                    </w:rPr>
                  </w:pPr>
                  <w:r w:rsidRPr="008E2DD7">
                    <w:rPr>
                      <w:rFonts w:eastAsia="標楷體"/>
                      <w:color w:val="000000"/>
                    </w:rPr>
                    <w:t>2.50</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jc w:val="right"/>
                    <w:rPr>
                      <w:rFonts w:eastAsia="標楷體"/>
                      <w:color w:val="000000"/>
                    </w:rPr>
                  </w:pPr>
                  <w:r w:rsidRPr="008E2DD7">
                    <w:rPr>
                      <w:rFonts w:eastAsia="標楷體"/>
                      <w:color w:val="000000"/>
                    </w:rPr>
                    <w:t>2.52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2.47</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2.50</w:t>
                  </w:r>
                </w:p>
              </w:tc>
            </w:tr>
            <w:tr w:rsidR="00415792" w:rsidRPr="008E2DD7" w:rsidTr="001D06BD">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D27561">
                  <w:pPr>
                    <w:pStyle w:val="BodyTextIndent"/>
                    <w:overflowPunct w:val="0"/>
                    <w:spacing w:after="0"/>
                    <w:ind w:leftChars="0" w:left="0"/>
                    <w:jc w:val="center"/>
                    <w:rPr>
                      <w:rFonts w:eastAsia="標楷體"/>
                      <w:kern w:val="0"/>
                    </w:rPr>
                  </w:pPr>
                  <w:r w:rsidRPr="008E2DD7">
                    <w:rPr>
                      <w:rFonts w:eastAsia="標楷體" w:hint="eastAsia"/>
                      <w:kern w:val="0"/>
                    </w:rPr>
                    <w:t>崑鼎</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jc w:val="right"/>
                    <w:rPr>
                      <w:rFonts w:eastAsia="標楷體"/>
                      <w:color w:val="000000"/>
                    </w:rPr>
                  </w:pPr>
                  <w:r w:rsidRPr="008E2DD7">
                    <w:rPr>
                      <w:rFonts w:eastAsia="標楷體"/>
                      <w:color w:val="000000"/>
                    </w:rPr>
                    <w:t>2.60</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jc w:val="right"/>
                    <w:rPr>
                      <w:rFonts w:eastAsia="標楷體"/>
                      <w:color w:val="000000"/>
                    </w:rPr>
                  </w:pPr>
                  <w:r w:rsidRPr="008E2DD7">
                    <w:rPr>
                      <w:rFonts w:eastAsia="標楷體"/>
                      <w:color w:val="000000"/>
                    </w:rPr>
                    <w:t>2.62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2.63</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2.62</w:t>
                  </w:r>
                </w:p>
              </w:tc>
            </w:tr>
            <w:tr w:rsidR="00415792" w:rsidRPr="008E2DD7" w:rsidTr="001D06BD">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D27561">
                  <w:pPr>
                    <w:pStyle w:val="BodyTextIndent"/>
                    <w:overflowPunct w:val="0"/>
                    <w:spacing w:after="0"/>
                    <w:ind w:leftChars="0" w:left="0"/>
                    <w:jc w:val="center"/>
                    <w:rPr>
                      <w:rFonts w:eastAsia="標楷體"/>
                      <w:kern w:val="0"/>
                    </w:rPr>
                  </w:pPr>
                  <w:r w:rsidRPr="008E2DD7">
                    <w:rPr>
                      <w:rFonts w:eastAsia="標楷體" w:hint="eastAsia"/>
                      <w:kern w:val="0"/>
                    </w:rPr>
                    <w:t>國統</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jc w:val="right"/>
                    <w:rPr>
                      <w:rFonts w:eastAsia="標楷體"/>
                      <w:color w:val="000000"/>
                    </w:rPr>
                  </w:pPr>
                  <w:r w:rsidRPr="008E2DD7">
                    <w:rPr>
                      <w:rFonts w:eastAsia="標楷體"/>
                      <w:color w:val="000000"/>
                    </w:rPr>
                    <w:t>2.27</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55716E">
                  <w:pPr>
                    <w:jc w:val="right"/>
                    <w:rPr>
                      <w:rFonts w:eastAsia="標楷體"/>
                      <w:color w:val="000000"/>
                    </w:rPr>
                  </w:pPr>
                  <w:r w:rsidRPr="008E2DD7">
                    <w:rPr>
                      <w:rFonts w:eastAsia="標楷體"/>
                      <w:color w:val="000000"/>
                    </w:rPr>
                    <w:t>2.32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2.32</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2.30</w:t>
                  </w:r>
                </w:p>
              </w:tc>
            </w:tr>
            <w:tr w:rsidR="00415792" w:rsidRPr="008E2DD7" w:rsidTr="0029652B">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181B1C">
                  <w:pPr>
                    <w:pStyle w:val="BodyTextIndent"/>
                    <w:overflowPunct w:val="0"/>
                    <w:spacing w:after="0"/>
                    <w:ind w:leftChars="0" w:left="0"/>
                    <w:rPr>
                      <w:rFonts w:eastAsia="標楷體"/>
                      <w:kern w:val="0"/>
                    </w:rPr>
                  </w:pPr>
                  <w:r w:rsidRPr="008E2DD7">
                    <w:rPr>
                      <w:rFonts w:eastAsia="標楷體" w:hint="eastAsia"/>
                      <w:kern w:val="0"/>
                    </w:rPr>
                    <w:t>上櫃</w:t>
                  </w:r>
                  <w:r w:rsidRPr="008E2DD7">
                    <w:rPr>
                      <w:rFonts w:eastAsia="標楷體"/>
                      <w:kern w:val="0"/>
                    </w:rPr>
                    <w:t>-</w:t>
                  </w:r>
                  <w:r w:rsidRPr="008E2DD7">
                    <w:rPr>
                      <w:rFonts w:eastAsia="標楷體" w:hint="eastAsia"/>
                      <w:kern w:val="0"/>
                    </w:rPr>
                    <w:t>其他類</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2.19</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2.13</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2.14</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2.15</w:t>
                  </w:r>
                </w:p>
              </w:tc>
            </w:tr>
            <w:tr w:rsidR="00415792" w:rsidRPr="008E2DD7" w:rsidTr="0029652B">
              <w:tc>
                <w:tcPr>
                  <w:tcW w:w="1750" w:type="dxa"/>
                  <w:tcBorders>
                    <w:top w:val="single" w:sz="4" w:space="0" w:color="auto"/>
                    <w:left w:val="single" w:sz="4" w:space="0" w:color="auto"/>
                    <w:bottom w:val="single" w:sz="4" w:space="0" w:color="auto"/>
                    <w:right w:val="single" w:sz="4" w:space="0" w:color="auto"/>
                  </w:tcBorders>
                </w:tcPr>
                <w:p w:rsidR="00415792" w:rsidRPr="008E2DD7" w:rsidRDefault="00415792" w:rsidP="00181B1C">
                  <w:pPr>
                    <w:pStyle w:val="BodyTextIndent"/>
                    <w:overflowPunct w:val="0"/>
                    <w:spacing w:after="0"/>
                    <w:ind w:leftChars="0" w:left="0"/>
                    <w:rPr>
                      <w:rFonts w:eastAsia="標楷體"/>
                      <w:kern w:val="0"/>
                    </w:rPr>
                  </w:pPr>
                  <w:r w:rsidRPr="008E2DD7">
                    <w:rPr>
                      <w:rFonts w:eastAsia="標楷體" w:hint="eastAsia"/>
                      <w:kern w:val="0"/>
                    </w:rPr>
                    <w:t>上市</w:t>
                  </w:r>
                  <w:r w:rsidRPr="008E2DD7">
                    <w:rPr>
                      <w:rFonts w:eastAsia="標楷體"/>
                      <w:kern w:val="0"/>
                    </w:rPr>
                    <w:t>-</w:t>
                  </w:r>
                  <w:r w:rsidRPr="008E2DD7">
                    <w:rPr>
                      <w:rFonts w:eastAsia="標楷體" w:hint="eastAsia"/>
                      <w:kern w:val="0"/>
                    </w:rPr>
                    <w:t>其他類</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2.37</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2.45</w:t>
                  </w:r>
                </w:p>
              </w:tc>
              <w:tc>
                <w:tcPr>
                  <w:tcW w:w="1236" w:type="dxa"/>
                  <w:tcBorders>
                    <w:top w:val="single" w:sz="4" w:space="0" w:color="auto"/>
                    <w:left w:val="single" w:sz="4" w:space="0" w:color="auto"/>
                    <w:bottom w:val="single" w:sz="4" w:space="0" w:color="auto"/>
                    <w:right w:val="single" w:sz="4" w:space="0" w:color="auto"/>
                  </w:tcBorders>
                </w:tcPr>
                <w:p w:rsidR="00415792" w:rsidRPr="008E2DD7" w:rsidRDefault="00415792" w:rsidP="00415792">
                  <w:pPr>
                    <w:pStyle w:val="BodyTextIndent"/>
                    <w:overflowPunct w:val="0"/>
                    <w:spacing w:after="0"/>
                    <w:ind w:left="31680"/>
                    <w:jc w:val="right"/>
                    <w:rPr>
                      <w:rFonts w:eastAsia="標楷體"/>
                      <w:kern w:val="0"/>
                    </w:rPr>
                  </w:pPr>
                  <w:r w:rsidRPr="008E2DD7">
                    <w:rPr>
                      <w:rFonts w:eastAsia="標楷體"/>
                      <w:kern w:val="0"/>
                    </w:rPr>
                    <w:t>2.58</w:t>
                  </w:r>
                </w:p>
              </w:tc>
              <w:tc>
                <w:tcPr>
                  <w:tcW w:w="1236"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pPr>
                    <w:jc w:val="right"/>
                    <w:rPr>
                      <w:rFonts w:eastAsia="標楷體"/>
                      <w:color w:val="000000"/>
                    </w:rPr>
                  </w:pPr>
                  <w:r w:rsidRPr="008E2DD7">
                    <w:rPr>
                      <w:rFonts w:eastAsia="標楷體"/>
                      <w:color w:val="000000"/>
                    </w:rPr>
                    <w:t>2.47</w:t>
                  </w:r>
                </w:p>
              </w:tc>
            </w:tr>
          </w:tbl>
          <w:p w:rsidR="00415792" w:rsidRPr="008E2DD7" w:rsidRDefault="00415792" w:rsidP="00415792">
            <w:pPr>
              <w:spacing w:after="240"/>
              <w:ind w:leftChars="309" w:left="31680"/>
              <w:rPr>
                <w:rFonts w:eastAsia="標楷體"/>
                <w:kern w:val="0"/>
              </w:rPr>
            </w:pPr>
            <w:r w:rsidRPr="008E2DD7">
              <w:rPr>
                <w:rFonts w:eastAsia="標楷體" w:hint="eastAsia"/>
                <w:kern w:val="0"/>
              </w:rPr>
              <w:t>資料來源</w:t>
            </w:r>
            <w:r w:rsidRPr="008E2DD7">
              <w:rPr>
                <w:rFonts w:eastAsia="標楷體"/>
                <w:kern w:val="0"/>
              </w:rPr>
              <w:t>:</w:t>
            </w:r>
            <w:r w:rsidRPr="008E2DD7">
              <w:rPr>
                <w:rFonts w:eastAsia="標楷體" w:hint="eastAsia"/>
                <w:kern w:val="0"/>
              </w:rPr>
              <w:t>台灣證券交易所及財團法人證券櫃檯買賣中心</w:t>
            </w:r>
          </w:p>
          <w:p w:rsidR="00415792" w:rsidRPr="008E2DD7" w:rsidRDefault="00415792" w:rsidP="00415792">
            <w:pPr>
              <w:spacing w:after="240"/>
              <w:ind w:leftChars="300" w:left="31680" w:firstLineChars="200" w:firstLine="31680"/>
              <w:jc w:val="both"/>
              <w:rPr>
                <w:rFonts w:eastAsia="標楷體"/>
                <w:kern w:val="0"/>
              </w:rPr>
            </w:pPr>
            <w:r w:rsidRPr="008E2DD7">
              <w:rPr>
                <w:rFonts w:eastAsia="標楷體" w:hint="eastAsia"/>
                <w:kern w:val="0"/>
              </w:rPr>
              <w:t>採樣公司及上市櫃其他類股</w:t>
            </w:r>
            <w:r w:rsidRPr="008E2DD7">
              <w:rPr>
                <w:rFonts w:eastAsia="標楷體"/>
                <w:bCs/>
                <w:kern w:val="0"/>
                <w:lang w:val="en-GB"/>
              </w:rPr>
              <w:t>103</w:t>
            </w:r>
            <w:r w:rsidRPr="008E2DD7">
              <w:rPr>
                <w:rFonts w:eastAsia="標楷體" w:hint="eastAsia"/>
                <w:bCs/>
                <w:kern w:val="0"/>
                <w:lang w:val="en-GB"/>
              </w:rPr>
              <w:t>年</w:t>
            </w:r>
            <w:r w:rsidRPr="008E2DD7">
              <w:rPr>
                <w:rFonts w:eastAsia="標楷體"/>
                <w:bCs/>
                <w:kern w:val="0"/>
                <w:lang w:val="en-GB"/>
              </w:rPr>
              <w:t>12</w:t>
            </w:r>
            <w:r w:rsidRPr="008E2DD7">
              <w:rPr>
                <w:rFonts w:eastAsia="標楷體" w:hint="eastAsia"/>
                <w:bCs/>
                <w:kern w:val="0"/>
                <w:lang w:val="en-GB"/>
              </w:rPr>
              <w:t>月至</w:t>
            </w:r>
            <w:r w:rsidRPr="008E2DD7">
              <w:rPr>
                <w:rFonts w:eastAsia="標楷體"/>
                <w:bCs/>
                <w:kern w:val="0"/>
                <w:lang w:val="en-GB"/>
              </w:rPr>
              <w:t>104</w:t>
            </w:r>
            <w:r w:rsidRPr="008E2DD7">
              <w:rPr>
                <w:rFonts w:eastAsia="標楷體" w:hint="eastAsia"/>
                <w:bCs/>
                <w:kern w:val="0"/>
                <w:lang w:val="en-GB"/>
              </w:rPr>
              <w:t>年</w:t>
            </w:r>
            <w:r w:rsidRPr="008E2DD7">
              <w:rPr>
                <w:rFonts w:eastAsia="標楷體"/>
                <w:bCs/>
                <w:kern w:val="0"/>
                <w:lang w:val="en-GB"/>
              </w:rPr>
              <w:t>2</w:t>
            </w:r>
            <w:r w:rsidRPr="008E2DD7">
              <w:rPr>
                <w:rFonts w:eastAsia="標楷體" w:hint="eastAsia"/>
                <w:bCs/>
                <w:kern w:val="0"/>
                <w:lang w:val="en-GB"/>
              </w:rPr>
              <w:t>月</w:t>
            </w:r>
            <w:r w:rsidRPr="008E2DD7">
              <w:rPr>
                <w:rFonts w:eastAsia="標楷體" w:hint="eastAsia"/>
                <w:kern w:val="0"/>
              </w:rPr>
              <w:t>之平均股價淨值比為</w:t>
            </w:r>
            <w:r w:rsidRPr="008E2DD7">
              <w:rPr>
                <w:rFonts w:eastAsia="標楷體"/>
                <w:kern w:val="0"/>
              </w:rPr>
              <w:t>2.15</w:t>
            </w:r>
            <w:r w:rsidRPr="008E2DD7">
              <w:rPr>
                <w:rFonts w:eastAsia="標楷體" w:hint="eastAsia"/>
                <w:kern w:val="0"/>
              </w:rPr>
              <w:t>倍</w:t>
            </w:r>
            <w:r w:rsidRPr="008E2DD7">
              <w:rPr>
                <w:rFonts w:eastAsia="標楷體"/>
                <w:kern w:val="0"/>
              </w:rPr>
              <w:t>~2.62</w:t>
            </w:r>
            <w:r w:rsidRPr="008E2DD7">
              <w:rPr>
                <w:rFonts w:eastAsia="標楷體" w:hint="eastAsia"/>
                <w:kern w:val="0"/>
              </w:rPr>
              <w:t>倍。該公司</w:t>
            </w:r>
            <w:r w:rsidRPr="008E2DD7">
              <w:rPr>
                <w:rFonts w:eastAsia="標楷體"/>
                <w:kern w:val="0"/>
              </w:rPr>
              <w:t>103</w:t>
            </w:r>
            <w:r w:rsidRPr="008E2DD7">
              <w:rPr>
                <w:rFonts w:eastAsia="標楷體" w:hint="eastAsia"/>
                <w:kern w:val="0"/>
              </w:rPr>
              <w:t>年底自結每股淨值為</w:t>
            </w:r>
            <w:r w:rsidRPr="008E2DD7">
              <w:rPr>
                <w:rFonts w:eastAsia="標楷體"/>
                <w:kern w:val="0"/>
              </w:rPr>
              <w:t>39.37</w:t>
            </w:r>
            <w:r w:rsidRPr="008E2DD7">
              <w:rPr>
                <w:rFonts w:eastAsia="標楷體" w:hint="eastAsia"/>
                <w:kern w:val="0"/>
              </w:rPr>
              <w:t>元，參考價格區間為每股</w:t>
            </w:r>
            <w:r w:rsidRPr="008E2DD7">
              <w:rPr>
                <w:rFonts w:eastAsia="標楷體"/>
                <w:kern w:val="0"/>
              </w:rPr>
              <w:t>84.65</w:t>
            </w:r>
            <w:r w:rsidRPr="008E2DD7">
              <w:rPr>
                <w:rFonts w:eastAsia="標楷體" w:hint="eastAsia"/>
                <w:kern w:val="0"/>
              </w:rPr>
              <w:t>元</w:t>
            </w:r>
            <w:r w:rsidRPr="008E2DD7">
              <w:rPr>
                <w:rFonts w:eastAsia="標楷體"/>
                <w:kern w:val="0"/>
              </w:rPr>
              <w:t>~103.15</w:t>
            </w:r>
            <w:r w:rsidRPr="008E2DD7">
              <w:rPr>
                <w:rFonts w:eastAsia="標楷體" w:hint="eastAsia"/>
                <w:kern w:val="0"/>
              </w:rPr>
              <w:t>元。</w:t>
            </w:r>
          </w:p>
          <w:p w:rsidR="00415792" w:rsidRPr="008E2DD7" w:rsidRDefault="00415792" w:rsidP="00415792">
            <w:pPr>
              <w:pStyle w:val="Default"/>
              <w:ind w:firstLineChars="200" w:firstLine="31680"/>
              <w:jc w:val="both"/>
              <w:rPr>
                <w:rFonts w:ascii="Times New Roman" w:cs="Times New Roman"/>
                <w:color w:val="auto"/>
              </w:rPr>
            </w:pPr>
            <w:r w:rsidRPr="008E2DD7">
              <w:rPr>
                <w:rFonts w:ascii="Times New Roman" w:cs="Times New Roman" w:hint="eastAsia"/>
                <w:color w:val="auto"/>
              </w:rPr>
              <w:t>綜上所述，採用本益比法，參考價格區間約為每股</w:t>
            </w:r>
            <w:r w:rsidRPr="008E2DD7">
              <w:rPr>
                <w:rFonts w:ascii="Times New Roman" w:cs="Times New Roman"/>
              </w:rPr>
              <w:t>32.46</w:t>
            </w:r>
            <w:r w:rsidRPr="008E2DD7">
              <w:rPr>
                <w:rFonts w:ascii="Times New Roman" w:cs="Times New Roman" w:hint="eastAsia"/>
              </w:rPr>
              <w:t>元</w:t>
            </w:r>
            <w:r w:rsidRPr="008E2DD7">
              <w:rPr>
                <w:rFonts w:ascii="Times New Roman" w:cs="Times New Roman"/>
              </w:rPr>
              <w:t>~59.35</w:t>
            </w:r>
            <w:r w:rsidRPr="008E2DD7">
              <w:rPr>
                <w:rFonts w:ascii="Times New Roman" w:cs="Times New Roman" w:hint="eastAsia"/>
                <w:color w:val="auto"/>
              </w:rPr>
              <w:t>元，而採用股價淨值比法，參考價格區間為每股</w:t>
            </w:r>
            <w:r w:rsidRPr="008E2DD7">
              <w:rPr>
                <w:rFonts w:ascii="Times New Roman" w:cs="Times New Roman"/>
              </w:rPr>
              <w:t>84.65</w:t>
            </w:r>
            <w:r w:rsidRPr="008E2DD7">
              <w:rPr>
                <w:rFonts w:ascii="Times New Roman" w:cs="Times New Roman" w:hint="eastAsia"/>
              </w:rPr>
              <w:t>元</w:t>
            </w:r>
            <w:r w:rsidRPr="008E2DD7">
              <w:rPr>
                <w:rFonts w:ascii="Times New Roman" w:cs="Times New Roman"/>
              </w:rPr>
              <w:t>~103.15</w:t>
            </w:r>
            <w:r w:rsidRPr="008E2DD7">
              <w:rPr>
                <w:rFonts w:ascii="Times New Roman" w:cs="Times New Roman" w:hint="eastAsia"/>
                <w:color w:val="auto"/>
              </w:rPr>
              <w:t>元，綜合推算山林水公司股價區間為</w:t>
            </w:r>
            <w:r w:rsidRPr="008E2DD7">
              <w:rPr>
                <w:rFonts w:ascii="Times New Roman" w:cs="Times New Roman"/>
              </w:rPr>
              <w:t>32.46</w:t>
            </w:r>
            <w:r w:rsidRPr="008E2DD7">
              <w:rPr>
                <w:rFonts w:ascii="Times New Roman" w:cs="Times New Roman" w:hint="eastAsia"/>
                <w:color w:val="auto"/>
              </w:rPr>
              <w:t>元</w:t>
            </w:r>
            <w:r w:rsidRPr="008E2DD7">
              <w:rPr>
                <w:rFonts w:ascii="Times New Roman" w:cs="Times New Roman"/>
                <w:color w:val="auto"/>
              </w:rPr>
              <w:t>~</w:t>
            </w:r>
            <w:r w:rsidRPr="008E2DD7">
              <w:rPr>
                <w:rFonts w:ascii="Times New Roman" w:cs="Times New Roman"/>
              </w:rPr>
              <w:t>103.15</w:t>
            </w:r>
            <w:r w:rsidRPr="008E2DD7">
              <w:rPr>
                <w:rFonts w:ascii="Times New Roman" w:cs="Times New Roman" w:hint="eastAsia"/>
                <w:color w:val="auto"/>
              </w:rPr>
              <w:t>元。考量採樣公司均為上市櫃公司，其股票之交易量及流通性均較興櫃市場佳，將此流動性風險納入評估，由本推薦證券商與山林水公司共同議定興櫃股票認購價格為每股價格</w:t>
            </w:r>
            <w:r w:rsidRPr="008E2DD7">
              <w:rPr>
                <w:rFonts w:ascii="Times New Roman" w:cs="Times New Roman"/>
                <w:color w:val="auto"/>
              </w:rPr>
              <w:t>53</w:t>
            </w:r>
            <w:r w:rsidRPr="008E2DD7">
              <w:rPr>
                <w:rFonts w:ascii="Times New Roman" w:cs="Times New Roman" w:hint="eastAsia"/>
                <w:color w:val="auto"/>
              </w:rPr>
              <w:t>元。</w:t>
            </w:r>
          </w:p>
        </w:tc>
      </w:tr>
    </w:tbl>
    <w:p w:rsidR="00415792" w:rsidRPr="008E2DD7" w:rsidRDefault="00415792">
      <w:pPr>
        <w:rPr>
          <w:rFonts w:eastAsia="標楷體"/>
          <w:color w:val="FE8531"/>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76"/>
      </w:tblGrid>
      <w:tr w:rsidR="00415792" w:rsidRPr="008E2DD7" w:rsidTr="00333DBB">
        <w:trPr>
          <w:trHeight w:val="768"/>
        </w:trPr>
        <w:tc>
          <w:tcPr>
            <w:tcW w:w="9776" w:type="dxa"/>
          </w:tcPr>
          <w:p w:rsidR="00415792" w:rsidRPr="008E2DD7" w:rsidRDefault="00415792" w:rsidP="00596C93">
            <w:pPr>
              <w:spacing w:line="480" w:lineRule="auto"/>
              <w:jc w:val="center"/>
              <w:rPr>
                <w:rFonts w:eastAsia="標楷體"/>
                <w:b/>
                <w:bCs/>
              </w:rPr>
            </w:pPr>
            <w:r>
              <w:rPr>
                <w:noProof/>
              </w:rPr>
              <w:pict>
                <v:shape id="Text Box 53" o:spid="_x0000_s1035" type="#_x0000_t202" style="position:absolute;left:0;text-align:left;margin-left:-1.1pt;margin-top:-.5pt;width:477pt;height:39.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UvzwIAANUFAAAOAAAAZHJzL2Uyb0RvYy54bWysVMlu2zAQvRfoPxC8O1oq2ZZgOUjiuCiQ&#10;LkBS9ExLlESUIlWStpwW/fcOSdlRmxyKojJAc5vhvDdvZnV57Dg6UKWZFAWOLkKMqChlxURT4M8P&#10;29kSI22IqAiXghb4kWp8uX79ajX0OY1lK3lFFQInQudDX+DWmD4PAl22tCP6QvZUwGEtVUcMLFUT&#10;VIoM4L3jQRyG82CQquqVLKnWsLvxh3jt/Nc1Lc3HutbUIF5giM24UblxZ8dgvSJ5o0jfsnIMg/xD&#10;FB1hAh49u9oQQ9BesWeuOlYqqWVtLkrZBbKuWUkdBkAThX+guW9JTx0WIEf3Z5r0/3Nbfjh8UohV&#10;BY4jjATpIEcP9GjQtTyi9I3lZ+h1Dtfue7hojrAPeXZYdX8ny68aCXnTEtHQK6Xk0FJSQXyRtQwm&#10;pt6Ptk52w3tZwTtkb6RzdKxVZ8kDOhB4hzw9nnNjYylhcx6miyyEoxLO0jCOl6l7guQn615p85bK&#10;DtlJgRXk3nknhzttbDQkP10ZM1VtGedISfOFmdaRfYLWaLBxtzTqJeAJPWLV7G64QgcCcrrd2N8Y&#10;RKOnt9MQvucWW/e9aBFZixdMnj0CKM7BcSYQEA98JN4c6ZJwCsn09Ds5OpA2OC7sKKQF7enwO8Dw&#10;CNZy7UT7I4viJLyOs9l2vlzMkm2SzrJFuJyFUXadzcMkSzbbnxZglOQtqyoq7pigpwKKkr8T6FjK&#10;XvquhNBQ4CyNU8+d5OwcvZ5S79C64gU69PRaxwz0E866Ai89JwCV5FaVt6Jyc0MY9/Pg9/CdRICD&#10;079jxWnYytYL2Bx3R18uNo1W3ztZPYKoQUVOudALYdJK9R2jAfpKgfW3PVEUI/5OgJCyKElsI3KL&#10;JF3EsFDTk930hIgSXBXYYEi0nd4Y37z2vWJNCy/5UhTyCoqpZk7nT1GNJQi9w2Ea+5xtTtO1u/XU&#10;jd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CyeQUvzwIAANUFAAAOAAAAAAAAAAAAAAAAAC4CAABkcnMvZTJvRG9j&#10;LnhtbFBLAQItABQABgAIAAAAIQA++FtA3wAAAAgBAAAPAAAAAAAAAAAAAAAAACkFAABkcnMvZG93&#10;bnJldi54bWxQSwUGAAAAAAQABADzAAAANQYAAAAA&#10;" fillcolor="#ededed" stroked="f">
                  <v:fill rotate="t" focus="50%" type="gradient"/>
                  <v:textbox>
                    <w:txbxContent>
                      <w:p w:rsidR="00415792" w:rsidRDefault="00415792" w:rsidP="00E57429"/>
                    </w:txbxContent>
                  </v:textbox>
                </v:shape>
              </w:pict>
            </w:r>
            <w:r w:rsidRPr="008E2DD7">
              <w:rPr>
                <w:rFonts w:eastAsia="標楷體" w:hint="eastAsia"/>
                <w:b/>
                <w:bCs/>
              </w:rPr>
              <w:t>公司簡介</w:t>
            </w:r>
            <w:r w:rsidRPr="008E2DD7">
              <w:rPr>
                <w:rFonts w:eastAsia="標楷體"/>
                <w:b/>
                <w:bCs/>
              </w:rPr>
              <w:t>(</w:t>
            </w:r>
            <w:r w:rsidRPr="008E2DD7">
              <w:rPr>
                <w:rFonts w:eastAsia="標楷體" w:hint="eastAsia"/>
                <w:b/>
                <w:bCs/>
              </w:rPr>
              <w:t>公司介紹、歷史沿革、經營理念、未來展望等</w:t>
            </w:r>
            <w:r w:rsidRPr="008E2DD7">
              <w:rPr>
                <w:rFonts w:eastAsia="標楷體"/>
                <w:b/>
                <w:bCs/>
              </w:rPr>
              <w:t>)</w:t>
            </w:r>
          </w:p>
        </w:tc>
      </w:tr>
      <w:tr w:rsidR="00415792" w:rsidRPr="008E2DD7" w:rsidTr="00AF1E34">
        <w:trPr>
          <w:trHeight w:val="3762"/>
        </w:trPr>
        <w:tc>
          <w:tcPr>
            <w:tcW w:w="9776" w:type="dxa"/>
          </w:tcPr>
          <w:p w:rsidR="00415792" w:rsidRPr="008E2DD7" w:rsidRDefault="00415792" w:rsidP="0075215E">
            <w:pPr>
              <w:pStyle w:val="HTMLPreformatted"/>
              <w:spacing w:beforeLines="50" w:line="240" w:lineRule="exact"/>
              <w:rPr>
                <w:rStyle w:val="HTMLTypewriter"/>
                <w:rFonts w:ascii="Times New Roman" w:eastAsia="標楷體" w:hAnsi="Times New Roman"/>
                <w:b/>
                <w:sz w:val="24"/>
                <w:szCs w:val="12"/>
              </w:rPr>
            </w:pPr>
            <w:r w:rsidRPr="008E2DD7">
              <w:rPr>
                <w:rStyle w:val="HTMLTypewriter"/>
                <w:rFonts w:ascii="Times New Roman" w:eastAsia="標楷體" w:hAnsi="Times New Roman" w:hint="eastAsia"/>
                <w:b/>
                <w:sz w:val="24"/>
                <w:szCs w:val="12"/>
              </w:rPr>
              <w:t>一、公司介紹：</w:t>
            </w:r>
          </w:p>
          <w:p w:rsidR="00415792" w:rsidRPr="008E2DD7" w:rsidRDefault="00415792" w:rsidP="00415792">
            <w:pPr>
              <w:pStyle w:val="BlockText"/>
              <w:adjustRightInd w:val="0"/>
              <w:snapToGrid w:val="0"/>
              <w:spacing w:before="180" w:after="100" w:afterAutospacing="1"/>
              <w:ind w:leftChars="0" w:left="181" w:right="31680" w:firstLineChars="202" w:firstLine="31680"/>
              <w:rPr>
                <w:rStyle w:val="HTMLTypewriter"/>
                <w:rFonts w:ascii="Times New Roman" w:eastAsia="標楷體" w:hAnsi="Times New Roman"/>
                <w:color w:val="000000"/>
                <w:sz w:val="24"/>
                <w:szCs w:val="24"/>
              </w:rPr>
            </w:pPr>
            <w:r w:rsidRPr="008E2DD7">
              <w:rPr>
                <w:rFonts w:hint="eastAsia"/>
                <w:color w:val="000000"/>
                <w:sz w:val="24"/>
                <w:szCs w:val="24"/>
              </w:rPr>
              <w:t>山林水環境工程股份有限公司設立於</w:t>
            </w:r>
            <w:smartTag w:uri="urn:schemas-microsoft-com:office:smarttags" w:element="chsdate">
              <w:smartTagPr>
                <w:attr w:name="IsROCDate" w:val="True"/>
                <w:attr w:name="IsLunarDate" w:val="False"/>
                <w:attr w:name="Day" w:val="10"/>
                <w:attr w:name="Month" w:val="6"/>
                <w:attr w:name="Year" w:val="2004"/>
              </w:smartTagPr>
              <w:r w:rsidRPr="008E2DD7">
                <w:rPr>
                  <w:rFonts w:hint="eastAsia"/>
                  <w:color w:val="000000"/>
                  <w:sz w:val="24"/>
                  <w:szCs w:val="24"/>
                </w:rPr>
                <w:t>民國九十三年六月十日</w:t>
              </w:r>
            </w:smartTag>
            <w:r w:rsidRPr="008E2DD7">
              <w:rPr>
                <w:rFonts w:hint="eastAsia"/>
                <w:color w:val="000000"/>
                <w:sz w:val="24"/>
                <w:szCs w:val="24"/>
              </w:rPr>
              <w:t>，本公司為環境保護工程專業營造業，主要經營項目為都市污水下水道系統工程、工業廢水處理、淨水處理、廢﹙污﹚水處理廠營運管理。截至民國</w:t>
            </w:r>
            <w:r w:rsidRPr="008E2DD7">
              <w:rPr>
                <w:color w:val="000000"/>
                <w:sz w:val="24"/>
                <w:szCs w:val="24"/>
              </w:rPr>
              <w:t>103</w:t>
            </w:r>
            <w:r w:rsidRPr="008E2DD7">
              <w:rPr>
                <w:rFonts w:hint="eastAsia"/>
                <w:color w:val="000000"/>
                <w:sz w:val="24"/>
                <w:szCs w:val="24"/>
              </w:rPr>
              <w:t>年</w:t>
            </w:r>
            <w:r w:rsidRPr="008E2DD7">
              <w:rPr>
                <w:color w:val="000000"/>
                <w:sz w:val="24"/>
                <w:szCs w:val="24"/>
              </w:rPr>
              <w:t>12</w:t>
            </w:r>
            <w:r w:rsidRPr="008E2DD7">
              <w:rPr>
                <w:rFonts w:hint="eastAsia"/>
                <w:color w:val="000000"/>
                <w:sz w:val="24"/>
                <w:szCs w:val="24"/>
              </w:rPr>
              <w:t>月底止，實收資本額為</w:t>
            </w:r>
            <w:r w:rsidRPr="008E2DD7">
              <w:rPr>
                <w:color w:val="000000"/>
                <w:sz w:val="24"/>
                <w:szCs w:val="24"/>
              </w:rPr>
              <w:t>1,131,872,970</w:t>
            </w:r>
            <w:r w:rsidRPr="008E2DD7">
              <w:rPr>
                <w:rFonts w:hint="eastAsia"/>
                <w:color w:val="000000"/>
                <w:sz w:val="24"/>
                <w:szCs w:val="24"/>
              </w:rPr>
              <w:t>元。</w:t>
            </w:r>
          </w:p>
          <w:p w:rsidR="00415792" w:rsidRPr="008E2DD7" w:rsidRDefault="00415792" w:rsidP="0075215E">
            <w:pPr>
              <w:pStyle w:val="HTMLPreformatted"/>
              <w:spacing w:beforeLines="50" w:after="240" w:line="240" w:lineRule="exact"/>
              <w:rPr>
                <w:rStyle w:val="HTMLTypewriter"/>
                <w:rFonts w:ascii="Times New Roman" w:eastAsia="標楷體" w:hAnsi="Times New Roman"/>
                <w:b/>
                <w:sz w:val="24"/>
                <w:szCs w:val="12"/>
              </w:rPr>
            </w:pPr>
            <w:r w:rsidRPr="008E2DD7">
              <w:rPr>
                <w:rStyle w:val="HTMLTypewriter"/>
                <w:rFonts w:ascii="Times New Roman" w:eastAsia="標楷體" w:hAnsi="Times New Roman" w:hint="eastAsia"/>
                <w:b/>
                <w:sz w:val="24"/>
                <w:szCs w:val="12"/>
              </w:rPr>
              <w:t>二、重大歷史沿革：</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spacing w:val="-5"/>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06</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正式設立山林水環境工程股份有限公司，創立之時以污水處理工</w:t>
            </w:r>
            <w:r w:rsidRPr="008E2DD7">
              <w:rPr>
                <w:rFonts w:ascii="Times New Roman" w:hAnsi="Times New Roman" w:hint="eastAsia"/>
                <w:snapToGrid w:val="0"/>
                <w:color w:val="auto"/>
                <w:spacing w:val="-5"/>
                <w:kern w:val="0"/>
                <w:sz w:val="24"/>
                <w:szCs w:val="24"/>
              </w:rPr>
              <w:t>程承攬施工及污水處理廠操作營運為主，實收資本額為新台幣</w:t>
            </w:r>
            <w:r w:rsidRPr="008E2DD7">
              <w:rPr>
                <w:rFonts w:ascii="Times New Roman" w:hAnsi="Times New Roman"/>
                <w:snapToGrid w:val="0"/>
                <w:color w:val="auto"/>
                <w:spacing w:val="-5"/>
                <w:kern w:val="0"/>
              </w:rPr>
              <w:t>6,000,000</w:t>
            </w:r>
            <w:r w:rsidRPr="008E2DD7">
              <w:rPr>
                <w:rFonts w:ascii="Times New Roman" w:hAnsi="Times New Roman" w:hint="eastAsia"/>
                <w:snapToGrid w:val="0"/>
                <w:color w:val="auto"/>
                <w:spacing w:val="-5"/>
                <w:kern w:val="0"/>
                <w:sz w:val="24"/>
                <w:szCs w:val="24"/>
              </w:rPr>
              <w:t>元整。</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12</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spacing w:val="-2"/>
                <w:kern w:val="0"/>
                <w:sz w:val="24"/>
                <w:szCs w:val="24"/>
              </w:rPr>
              <w:t>現金增資新台幣</w:t>
            </w:r>
            <w:r w:rsidRPr="008E2DD7">
              <w:rPr>
                <w:rFonts w:ascii="Times New Roman" w:hAnsi="Times New Roman"/>
                <w:snapToGrid w:val="0"/>
                <w:color w:val="auto"/>
                <w:spacing w:val="-2"/>
                <w:kern w:val="0"/>
              </w:rPr>
              <w:t>14,000,000</w:t>
            </w:r>
            <w:r w:rsidRPr="008E2DD7">
              <w:rPr>
                <w:rFonts w:ascii="Times New Roman" w:hAnsi="Times New Roman" w:hint="eastAsia"/>
                <w:snapToGrid w:val="0"/>
                <w:color w:val="auto"/>
                <w:spacing w:val="-2"/>
                <w:kern w:val="0"/>
                <w:sz w:val="24"/>
                <w:szCs w:val="24"/>
              </w:rPr>
              <w:t>元，實收資本額為新台幣</w:t>
            </w:r>
            <w:r w:rsidRPr="008E2DD7">
              <w:rPr>
                <w:rFonts w:ascii="Times New Roman" w:hAnsi="Times New Roman"/>
                <w:snapToGrid w:val="0"/>
                <w:color w:val="auto"/>
                <w:spacing w:val="-2"/>
                <w:kern w:val="0"/>
              </w:rPr>
              <w:t>20,000,000</w:t>
            </w:r>
            <w:r w:rsidRPr="008E2DD7">
              <w:rPr>
                <w:rFonts w:ascii="Times New Roman" w:hAnsi="Times New Roman" w:hint="eastAsia"/>
                <w:snapToGrid w:val="0"/>
                <w:color w:val="auto"/>
                <w:kern w:val="0"/>
                <w:sz w:val="24"/>
                <w:szCs w:val="24"/>
              </w:rPr>
              <w:t>元整，為增加公司營業規模用。</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94</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02</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承接榮電公司</w:t>
            </w:r>
            <w:r w:rsidRPr="008E2DD7">
              <w:rPr>
                <w:rFonts w:ascii="Times New Roman" w:hAnsi="Times New Roman" w:hint="eastAsia"/>
                <w:b/>
                <w:bCs/>
                <w:snapToGrid w:val="0"/>
                <w:color w:val="auto"/>
                <w:kern w:val="0"/>
                <w:sz w:val="24"/>
                <w:szCs w:val="24"/>
              </w:rPr>
              <w:t>－</w:t>
            </w:r>
            <w:r w:rsidRPr="008E2DD7">
              <w:rPr>
                <w:rFonts w:ascii="Times New Roman" w:hAnsi="Times New Roman" w:hint="eastAsia"/>
                <w:snapToGrid w:val="0"/>
                <w:color w:val="auto"/>
                <w:kern w:val="0"/>
                <w:sz w:val="24"/>
                <w:szCs w:val="24"/>
              </w:rPr>
              <w:t>中科雲林基地虎尾園區污水處理廠新建工程。</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94</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02</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承接臺灣省自來水公司澎湖西嶼淨水場水質改善工程含</w:t>
            </w:r>
            <w:r w:rsidRPr="008E2DD7">
              <w:rPr>
                <w:rFonts w:ascii="Times New Roman" w:hAnsi="Times New Roman"/>
                <w:snapToGrid w:val="0"/>
                <w:color w:val="auto"/>
                <w:kern w:val="0"/>
                <w:sz w:val="24"/>
                <w:szCs w:val="24"/>
              </w:rPr>
              <w:t>5</w:t>
            </w:r>
            <w:r w:rsidRPr="008E2DD7">
              <w:rPr>
                <w:rFonts w:ascii="Times New Roman" w:hAnsi="Times New Roman" w:hint="eastAsia"/>
                <w:snapToGrid w:val="0"/>
                <w:color w:val="auto"/>
                <w:kern w:val="0"/>
                <w:sz w:val="24"/>
                <w:szCs w:val="24"/>
              </w:rPr>
              <w:t>年代操作案。</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95</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09</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承接力拓營造公司</w:t>
            </w:r>
            <w:r w:rsidRPr="008E2DD7">
              <w:rPr>
                <w:rFonts w:ascii="Times New Roman" w:hAnsi="Times New Roman" w:hint="eastAsia"/>
                <w:b/>
                <w:bCs/>
                <w:snapToGrid w:val="0"/>
                <w:color w:val="auto"/>
                <w:kern w:val="0"/>
                <w:sz w:val="24"/>
                <w:szCs w:val="24"/>
              </w:rPr>
              <w:t>－</w:t>
            </w:r>
            <w:r w:rsidRPr="008E2DD7">
              <w:rPr>
                <w:rFonts w:ascii="Times New Roman" w:hAnsi="Times New Roman" w:hint="eastAsia"/>
                <w:snapToGrid w:val="0"/>
                <w:color w:val="auto"/>
                <w:kern w:val="0"/>
                <w:sz w:val="24"/>
                <w:szCs w:val="24"/>
              </w:rPr>
              <w:t>台絲公司雲林科技工業區（竹圍子區）水處理設施工程淨水場第一期工程。</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95</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10</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承接綠山林開發事業股份有限公司楠梓</w:t>
            </w:r>
            <w:r w:rsidRPr="008E2DD7">
              <w:rPr>
                <w:rFonts w:ascii="Times New Roman" w:hAnsi="Times New Roman"/>
                <w:snapToGrid w:val="0"/>
                <w:color w:val="auto"/>
                <w:kern w:val="0"/>
                <w:sz w:val="24"/>
                <w:szCs w:val="24"/>
              </w:rPr>
              <w:t>BOT</w:t>
            </w:r>
            <w:r w:rsidRPr="008E2DD7">
              <w:rPr>
                <w:rFonts w:ascii="Times New Roman" w:hAnsi="Times New Roman" w:hint="eastAsia"/>
                <w:snapToGrid w:val="0"/>
                <w:color w:val="auto"/>
                <w:kern w:val="0"/>
                <w:sz w:val="24"/>
                <w:szCs w:val="24"/>
              </w:rPr>
              <w:t>案污水處理廠厭氧設備統包工程。</w:t>
            </w:r>
          </w:p>
          <w:p w:rsidR="00415792" w:rsidRPr="008E2DD7" w:rsidRDefault="00415792" w:rsidP="00E47A8A">
            <w:pPr>
              <w:pStyle w:val="w"/>
              <w:tabs>
                <w:tab w:val="left" w:pos="2519"/>
              </w:tabs>
              <w:kinsoku w:val="0"/>
              <w:overflowPunct w:val="0"/>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96</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spacing w:val="-4"/>
                <w:kern w:val="0"/>
                <w:sz w:val="24"/>
                <w:szCs w:val="24"/>
              </w:rPr>
              <w:t>本公司取得環境保護專業營造業資格，現金增資新台幣</w:t>
            </w:r>
            <w:r w:rsidRPr="008E2DD7">
              <w:rPr>
                <w:rFonts w:ascii="Times New Roman" w:hAnsi="Times New Roman"/>
                <w:snapToGrid w:val="0"/>
                <w:color w:val="auto"/>
                <w:spacing w:val="-4"/>
                <w:kern w:val="0"/>
              </w:rPr>
              <w:t>10,000,000</w:t>
            </w:r>
            <w:r w:rsidRPr="008E2DD7">
              <w:rPr>
                <w:rFonts w:ascii="Times New Roman" w:hAnsi="Times New Roman" w:hint="eastAsia"/>
                <w:snapToGrid w:val="0"/>
                <w:color w:val="auto"/>
                <w:kern w:val="0"/>
                <w:sz w:val="24"/>
                <w:szCs w:val="24"/>
              </w:rPr>
              <w:t>元，實收資本額增為新台幣</w:t>
            </w:r>
            <w:r w:rsidRPr="008E2DD7">
              <w:rPr>
                <w:rFonts w:ascii="Times New Roman" w:hAnsi="Times New Roman"/>
                <w:snapToGrid w:val="0"/>
                <w:color w:val="auto"/>
                <w:kern w:val="0"/>
              </w:rPr>
              <w:t>30,000,000</w:t>
            </w:r>
            <w:r w:rsidRPr="008E2DD7">
              <w:rPr>
                <w:rFonts w:ascii="Times New Roman" w:hAnsi="Times New Roman" w:hint="eastAsia"/>
                <w:snapToGrid w:val="0"/>
                <w:color w:val="auto"/>
                <w:kern w:val="0"/>
                <w:sz w:val="24"/>
                <w:szCs w:val="24"/>
              </w:rPr>
              <w:t>元整，為擴大公司營業規模用。</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96</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08</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承接綠山林開發事業股份有限公司楠梓</w:t>
            </w:r>
            <w:r w:rsidRPr="008E2DD7">
              <w:rPr>
                <w:rFonts w:ascii="Times New Roman" w:hAnsi="Times New Roman"/>
                <w:snapToGrid w:val="0"/>
                <w:color w:val="auto"/>
                <w:kern w:val="0"/>
                <w:sz w:val="24"/>
                <w:szCs w:val="24"/>
              </w:rPr>
              <w:t>BOT</w:t>
            </w:r>
            <w:r w:rsidRPr="008E2DD7">
              <w:rPr>
                <w:rFonts w:ascii="Times New Roman" w:hAnsi="Times New Roman" w:hint="eastAsia"/>
                <w:snapToGrid w:val="0"/>
                <w:color w:val="auto"/>
                <w:kern w:val="0"/>
                <w:sz w:val="24"/>
                <w:szCs w:val="24"/>
              </w:rPr>
              <w:t>案污水處理廠新建工程</w:t>
            </w:r>
            <w:r w:rsidRPr="008E2DD7">
              <w:rPr>
                <w:rFonts w:ascii="Times New Roman" w:hAnsi="Times New Roman" w:hint="eastAsia"/>
                <w:b/>
                <w:bCs/>
                <w:snapToGrid w:val="0"/>
                <w:color w:val="auto"/>
                <w:kern w:val="0"/>
                <w:sz w:val="24"/>
                <w:szCs w:val="24"/>
              </w:rPr>
              <w:t>－</w:t>
            </w:r>
            <w:r w:rsidRPr="008E2DD7">
              <w:rPr>
                <w:rFonts w:ascii="Times New Roman" w:hAnsi="Times New Roman" w:hint="eastAsia"/>
                <w:snapToGrid w:val="0"/>
                <w:color w:val="auto"/>
                <w:kern w:val="0"/>
                <w:sz w:val="24"/>
                <w:szCs w:val="24"/>
              </w:rPr>
              <w:t>機械管線儀控電氣工程。</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96</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10</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承接東山林開發事業股份有限公司羅東</w:t>
            </w:r>
            <w:r w:rsidRPr="008E2DD7">
              <w:rPr>
                <w:rFonts w:ascii="Times New Roman" w:hAnsi="Times New Roman"/>
                <w:snapToGrid w:val="0"/>
                <w:color w:val="auto"/>
                <w:kern w:val="0"/>
                <w:sz w:val="24"/>
                <w:szCs w:val="24"/>
              </w:rPr>
              <w:t>BOT</w:t>
            </w:r>
            <w:r w:rsidRPr="008E2DD7">
              <w:rPr>
                <w:rFonts w:ascii="Times New Roman" w:hAnsi="Times New Roman" w:hint="eastAsia"/>
                <w:snapToGrid w:val="0"/>
                <w:color w:val="auto"/>
                <w:kern w:val="0"/>
                <w:sz w:val="24"/>
                <w:szCs w:val="24"/>
              </w:rPr>
              <w:t>案水資源回收中心第一期機械管線儀控電氣工程。</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97</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07</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現金增資新台幣</w:t>
            </w:r>
            <w:r w:rsidRPr="008E2DD7">
              <w:rPr>
                <w:rFonts w:ascii="Times New Roman" w:hAnsi="Times New Roman"/>
                <w:snapToGrid w:val="0"/>
                <w:color w:val="auto"/>
                <w:kern w:val="0"/>
              </w:rPr>
              <w:t>14,000,000</w:t>
            </w:r>
            <w:r w:rsidRPr="008E2DD7">
              <w:rPr>
                <w:rFonts w:ascii="Times New Roman" w:hAnsi="Times New Roman" w:hint="eastAsia"/>
                <w:snapToGrid w:val="0"/>
                <w:color w:val="auto"/>
                <w:kern w:val="0"/>
                <w:sz w:val="24"/>
                <w:szCs w:val="24"/>
              </w:rPr>
              <w:t>元及股息及紅利轉增資新台幣</w:t>
            </w:r>
            <w:r w:rsidRPr="008E2DD7">
              <w:rPr>
                <w:rFonts w:ascii="Times New Roman" w:hAnsi="Times New Roman"/>
                <w:snapToGrid w:val="0"/>
                <w:color w:val="auto"/>
                <w:kern w:val="0"/>
                <w:sz w:val="24"/>
                <w:szCs w:val="24"/>
              </w:rPr>
              <w:t>6,000,000</w:t>
            </w:r>
            <w:r w:rsidRPr="008E2DD7">
              <w:rPr>
                <w:rFonts w:ascii="Times New Roman" w:hAnsi="Times New Roman" w:hint="eastAsia"/>
                <w:snapToGrid w:val="0"/>
                <w:color w:val="auto"/>
                <w:kern w:val="0"/>
                <w:sz w:val="24"/>
                <w:szCs w:val="24"/>
              </w:rPr>
              <w:t>元，實收資本額增為新台幣</w:t>
            </w:r>
            <w:r w:rsidRPr="008E2DD7">
              <w:rPr>
                <w:rFonts w:ascii="Times New Roman" w:hAnsi="Times New Roman"/>
                <w:snapToGrid w:val="0"/>
                <w:color w:val="auto"/>
                <w:kern w:val="0"/>
              </w:rPr>
              <w:t>50,000,000</w:t>
            </w:r>
            <w:r w:rsidRPr="008E2DD7">
              <w:rPr>
                <w:rFonts w:ascii="Times New Roman" w:hAnsi="Times New Roman" w:hint="eastAsia"/>
                <w:snapToGrid w:val="0"/>
                <w:color w:val="auto"/>
                <w:kern w:val="0"/>
                <w:sz w:val="24"/>
                <w:szCs w:val="24"/>
              </w:rPr>
              <w:t>元整，為擴大公司營業規模用。</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97</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10</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承接台灣自來水公司中區工程處永靖淨水場水質改善工程案。</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97</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12</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承接綠山林開發事業股份有限公司楠梓</w:t>
            </w:r>
            <w:r w:rsidRPr="008E2DD7">
              <w:rPr>
                <w:rFonts w:ascii="Times New Roman" w:hAnsi="Times New Roman"/>
                <w:snapToGrid w:val="0"/>
                <w:color w:val="auto"/>
                <w:kern w:val="0"/>
                <w:sz w:val="24"/>
                <w:szCs w:val="24"/>
              </w:rPr>
              <w:t>BOT</w:t>
            </w:r>
            <w:r w:rsidRPr="008E2DD7">
              <w:rPr>
                <w:rFonts w:ascii="Times New Roman" w:hAnsi="Times New Roman" w:hint="eastAsia"/>
                <w:snapToGrid w:val="0"/>
                <w:color w:val="auto"/>
                <w:kern w:val="0"/>
                <w:sz w:val="24"/>
                <w:szCs w:val="24"/>
              </w:rPr>
              <w:t>案污水處理廠委託操作維護案。</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98</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承接東山林開發事業股份有限公司羅東</w:t>
            </w:r>
            <w:r w:rsidRPr="008E2DD7">
              <w:rPr>
                <w:rFonts w:ascii="Times New Roman" w:hAnsi="Times New Roman"/>
                <w:snapToGrid w:val="0"/>
                <w:color w:val="auto"/>
                <w:kern w:val="0"/>
                <w:sz w:val="24"/>
                <w:szCs w:val="24"/>
              </w:rPr>
              <w:t>BOT</w:t>
            </w:r>
            <w:r w:rsidRPr="008E2DD7">
              <w:rPr>
                <w:rFonts w:ascii="Times New Roman" w:hAnsi="Times New Roman" w:hint="eastAsia"/>
                <w:snapToGrid w:val="0"/>
                <w:color w:val="auto"/>
                <w:kern w:val="0"/>
                <w:sz w:val="24"/>
                <w:szCs w:val="24"/>
              </w:rPr>
              <w:t>案羅東水資源回收中心委託操作維護案。</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99</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03</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承接台中市政府台中市福田水資源回收中心委託代操作維護案。</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99</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04</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承接經濟部工業局南崗工業區污水處理廠擴（整）建與功能提升工程案。</w:t>
            </w:r>
          </w:p>
          <w:p w:rsidR="00415792" w:rsidRPr="008E2DD7" w:rsidRDefault="00415792" w:rsidP="00E47A8A">
            <w:pPr>
              <w:pStyle w:val="w"/>
              <w:tabs>
                <w:tab w:val="left" w:pos="2519"/>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99</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股息及紅利轉增資新台幣</w:t>
            </w:r>
            <w:r w:rsidRPr="008E2DD7">
              <w:rPr>
                <w:rFonts w:ascii="Times New Roman" w:hAnsi="Times New Roman"/>
                <w:snapToGrid w:val="0"/>
                <w:color w:val="auto"/>
                <w:kern w:val="0"/>
              </w:rPr>
              <w:t>10,000,000</w:t>
            </w:r>
            <w:r w:rsidRPr="008E2DD7">
              <w:rPr>
                <w:rFonts w:ascii="Times New Roman" w:hAnsi="Times New Roman" w:hint="eastAsia"/>
                <w:snapToGrid w:val="0"/>
                <w:color w:val="auto"/>
                <w:kern w:val="0"/>
                <w:sz w:val="24"/>
                <w:szCs w:val="24"/>
              </w:rPr>
              <w:t>元，實收資本額增為新台幣</w:t>
            </w:r>
            <w:r w:rsidRPr="008E2DD7">
              <w:rPr>
                <w:rFonts w:ascii="Times New Roman" w:hAnsi="Times New Roman"/>
                <w:snapToGrid w:val="0"/>
                <w:color w:val="auto"/>
                <w:kern w:val="0"/>
              </w:rPr>
              <w:t>60,000,000</w:t>
            </w:r>
            <w:r w:rsidRPr="008E2DD7">
              <w:rPr>
                <w:rFonts w:ascii="Times New Roman" w:hAnsi="Times New Roman" w:hint="eastAsia"/>
                <w:snapToGrid w:val="0"/>
                <w:color w:val="auto"/>
                <w:kern w:val="0"/>
                <w:sz w:val="24"/>
                <w:szCs w:val="24"/>
              </w:rPr>
              <w:t>元整，為擴大公司營業規模及增加投標案件承攬額度用。</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100</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承接科學工業園區管理局宜蘭園區城南基地開發工程－污水處理廠工程。</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100</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04</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spacing w:val="-2"/>
                <w:kern w:val="0"/>
                <w:sz w:val="24"/>
                <w:szCs w:val="24"/>
              </w:rPr>
              <w:t>承接宜蘭縣政府宜蘭地區水資源回收中心代操作維護管理工作。</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100</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06</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股息及紅利轉增資新台幣</w:t>
            </w:r>
            <w:r w:rsidRPr="008E2DD7">
              <w:rPr>
                <w:rFonts w:ascii="Times New Roman" w:hAnsi="Times New Roman"/>
                <w:snapToGrid w:val="0"/>
                <w:color w:val="auto"/>
                <w:kern w:val="0"/>
                <w:sz w:val="24"/>
                <w:szCs w:val="24"/>
              </w:rPr>
              <w:t>28,000,000</w:t>
            </w:r>
            <w:r w:rsidRPr="008E2DD7">
              <w:rPr>
                <w:rFonts w:ascii="Times New Roman" w:hAnsi="Times New Roman" w:hint="eastAsia"/>
                <w:snapToGrid w:val="0"/>
                <w:color w:val="auto"/>
                <w:kern w:val="0"/>
                <w:sz w:val="24"/>
                <w:szCs w:val="24"/>
              </w:rPr>
              <w:t>元，實收資本額增為新台幣</w:t>
            </w:r>
            <w:r w:rsidRPr="008E2DD7">
              <w:rPr>
                <w:rFonts w:ascii="Times New Roman" w:hAnsi="Times New Roman"/>
                <w:snapToGrid w:val="0"/>
                <w:color w:val="auto"/>
                <w:kern w:val="0"/>
                <w:sz w:val="24"/>
                <w:szCs w:val="24"/>
              </w:rPr>
              <w:t>88,000,000</w:t>
            </w:r>
            <w:r w:rsidRPr="008E2DD7">
              <w:rPr>
                <w:rFonts w:ascii="Times New Roman" w:hAnsi="Times New Roman" w:hint="eastAsia"/>
                <w:snapToGrid w:val="0"/>
                <w:color w:val="auto"/>
                <w:kern w:val="0"/>
                <w:sz w:val="24"/>
                <w:szCs w:val="24"/>
              </w:rPr>
              <w:t>元整，為擴大公司營業規模及增加投標案件承攬額度用。</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100</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06</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承接科學工業園區管理局園區四期銅鑼基地開發工程</w:t>
            </w:r>
            <w:r w:rsidRPr="008E2DD7">
              <w:rPr>
                <w:rFonts w:ascii="Times New Roman" w:hAnsi="Times New Roman"/>
                <w:snapToGrid w:val="0"/>
                <w:color w:val="auto"/>
                <w:kern w:val="0"/>
                <w:sz w:val="24"/>
                <w:szCs w:val="24"/>
              </w:rPr>
              <w:t>_</w:t>
            </w:r>
            <w:r w:rsidRPr="008E2DD7">
              <w:rPr>
                <w:rFonts w:ascii="Times New Roman" w:hAnsi="Times New Roman" w:hint="eastAsia"/>
                <w:snapToGrid w:val="0"/>
                <w:color w:val="auto"/>
                <w:kern w:val="0"/>
                <w:sz w:val="24"/>
                <w:szCs w:val="24"/>
              </w:rPr>
              <w:t>污水處理廠第一期續建工程。</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100</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07</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承接東山林開發事業股份有限公司羅東</w:t>
            </w:r>
            <w:r w:rsidRPr="008E2DD7">
              <w:rPr>
                <w:rFonts w:ascii="Times New Roman" w:hAnsi="Times New Roman"/>
                <w:snapToGrid w:val="0"/>
                <w:color w:val="auto"/>
                <w:kern w:val="0"/>
                <w:sz w:val="24"/>
                <w:szCs w:val="24"/>
              </w:rPr>
              <w:t>BOT</w:t>
            </w:r>
            <w:r w:rsidRPr="008E2DD7">
              <w:rPr>
                <w:rFonts w:ascii="Times New Roman" w:hAnsi="Times New Roman" w:hint="eastAsia"/>
                <w:snapToGrid w:val="0"/>
                <w:color w:val="auto"/>
                <w:kern w:val="0"/>
                <w:sz w:val="24"/>
                <w:szCs w:val="24"/>
              </w:rPr>
              <w:t>案水資源回收中心第二期擴建工程。</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100</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08</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承接台中市政府福田水資源回收中心設備更新工程。</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100</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12</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承接行政院國家科學委員會中部科學工業園區管理局七星園區污水處理廠一期二階工程工程。</w:t>
            </w:r>
          </w:p>
          <w:p w:rsidR="00415792" w:rsidRPr="008E2DD7" w:rsidRDefault="00415792" w:rsidP="00E47A8A">
            <w:pPr>
              <w:pStyle w:val="w"/>
              <w:tabs>
                <w:tab w:val="left" w:pos="2519"/>
                <w:tab w:val="left" w:pos="3005"/>
              </w:tabs>
              <w:spacing w:beforeLines="0" w:afterLines="0" w:line="40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101</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09</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承接彰化縣政府二林污水處理廠操作維護工作</w:t>
            </w:r>
            <w:r w:rsidRPr="008E2DD7">
              <w:rPr>
                <w:rFonts w:ascii="Times New Roman" w:hAnsi="Times New Roman"/>
                <w:snapToGrid w:val="0"/>
                <w:color w:val="auto"/>
                <w:kern w:val="0"/>
                <w:sz w:val="24"/>
                <w:szCs w:val="24"/>
              </w:rPr>
              <w:t>(</w:t>
            </w:r>
            <w:r w:rsidRPr="008E2DD7">
              <w:rPr>
                <w:rFonts w:ascii="Times New Roman" w:hAnsi="Times New Roman" w:hint="eastAsia"/>
                <w:snapToGrid w:val="0"/>
                <w:color w:val="auto"/>
                <w:kern w:val="0"/>
                <w:sz w:val="24"/>
                <w:szCs w:val="24"/>
              </w:rPr>
              <w:t>第一期</w:t>
            </w:r>
            <w:r w:rsidRPr="008E2DD7">
              <w:rPr>
                <w:rFonts w:ascii="Times New Roman" w:hAnsi="Times New Roman"/>
                <w:snapToGrid w:val="0"/>
                <w:color w:val="auto"/>
                <w:kern w:val="0"/>
                <w:sz w:val="24"/>
                <w:szCs w:val="24"/>
              </w:rPr>
              <w:t>)</w:t>
            </w:r>
            <w:r w:rsidRPr="008E2DD7">
              <w:rPr>
                <w:rFonts w:ascii="Times New Roman" w:hAnsi="Times New Roman" w:hint="eastAsia"/>
                <w:snapToGrid w:val="0"/>
                <w:color w:val="auto"/>
                <w:kern w:val="0"/>
                <w:sz w:val="24"/>
                <w:szCs w:val="24"/>
              </w:rPr>
              <w:t>。</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102</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05</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股息及紅利轉增資新台幣</w:t>
            </w:r>
            <w:r w:rsidRPr="008E2DD7">
              <w:rPr>
                <w:rFonts w:ascii="Times New Roman" w:hAnsi="Times New Roman"/>
                <w:snapToGrid w:val="0"/>
                <w:color w:val="auto"/>
                <w:kern w:val="0"/>
                <w:sz w:val="24"/>
                <w:szCs w:val="24"/>
              </w:rPr>
              <w:t>52,000,000</w:t>
            </w:r>
            <w:r w:rsidRPr="008E2DD7">
              <w:rPr>
                <w:rFonts w:ascii="Times New Roman" w:hAnsi="Times New Roman" w:hint="eastAsia"/>
                <w:snapToGrid w:val="0"/>
                <w:color w:val="auto"/>
                <w:kern w:val="0"/>
                <w:sz w:val="24"/>
                <w:szCs w:val="24"/>
              </w:rPr>
              <w:t>元，實收資本額增為新台幣</w:t>
            </w:r>
            <w:r w:rsidRPr="008E2DD7">
              <w:rPr>
                <w:rFonts w:ascii="Times New Roman" w:hAnsi="Times New Roman"/>
                <w:snapToGrid w:val="0"/>
                <w:color w:val="auto"/>
                <w:kern w:val="0"/>
                <w:sz w:val="24"/>
                <w:szCs w:val="24"/>
              </w:rPr>
              <w:t>140,000,000</w:t>
            </w:r>
            <w:r w:rsidRPr="008E2DD7">
              <w:rPr>
                <w:rFonts w:ascii="Times New Roman" w:hAnsi="Times New Roman" w:hint="eastAsia"/>
                <w:snapToGrid w:val="0"/>
                <w:color w:val="auto"/>
                <w:kern w:val="0"/>
                <w:sz w:val="24"/>
                <w:szCs w:val="24"/>
              </w:rPr>
              <w:t>元整。</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102</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配合業務需求減資新台幣</w:t>
            </w:r>
            <w:r w:rsidRPr="008E2DD7">
              <w:rPr>
                <w:rFonts w:ascii="Times New Roman" w:hAnsi="Times New Roman"/>
                <w:snapToGrid w:val="0"/>
                <w:color w:val="auto"/>
                <w:kern w:val="0"/>
                <w:sz w:val="24"/>
                <w:szCs w:val="24"/>
              </w:rPr>
              <w:t>92,939,480</w:t>
            </w:r>
            <w:r w:rsidRPr="008E2DD7">
              <w:rPr>
                <w:rFonts w:ascii="Times New Roman" w:hAnsi="Times New Roman" w:hint="eastAsia"/>
                <w:snapToGrid w:val="0"/>
                <w:color w:val="auto"/>
                <w:kern w:val="0"/>
                <w:sz w:val="24"/>
                <w:szCs w:val="24"/>
              </w:rPr>
              <w:t>元，實收資本額減為新台幣</w:t>
            </w:r>
            <w:r w:rsidRPr="008E2DD7">
              <w:rPr>
                <w:rFonts w:ascii="Times New Roman" w:hAnsi="Times New Roman"/>
                <w:snapToGrid w:val="0"/>
                <w:color w:val="auto"/>
                <w:kern w:val="0"/>
                <w:sz w:val="24"/>
                <w:szCs w:val="24"/>
              </w:rPr>
              <w:t>47,060,520</w:t>
            </w:r>
            <w:r w:rsidRPr="008E2DD7">
              <w:rPr>
                <w:rFonts w:ascii="Times New Roman" w:hAnsi="Times New Roman" w:hint="eastAsia"/>
                <w:snapToGrid w:val="0"/>
                <w:color w:val="auto"/>
                <w:kern w:val="0"/>
                <w:sz w:val="24"/>
                <w:szCs w:val="24"/>
              </w:rPr>
              <w:t>元整。</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102</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12</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與力鶴企業股份有限公司辦理合併，本公司為存續公司，合併後變更資本總額為新台幣</w:t>
            </w:r>
            <w:r w:rsidRPr="008E2DD7">
              <w:rPr>
                <w:rFonts w:ascii="Times New Roman" w:hAnsi="Times New Roman"/>
                <w:snapToGrid w:val="0"/>
                <w:color w:val="auto"/>
                <w:kern w:val="0"/>
                <w:sz w:val="24"/>
                <w:szCs w:val="24"/>
              </w:rPr>
              <w:t>1,600,000,000</w:t>
            </w:r>
            <w:r w:rsidRPr="008E2DD7">
              <w:rPr>
                <w:rFonts w:ascii="Times New Roman" w:hAnsi="Times New Roman" w:hint="eastAsia"/>
                <w:snapToGrid w:val="0"/>
                <w:color w:val="auto"/>
                <w:kern w:val="0"/>
                <w:sz w:val="24"/>
                <w:szCs w:val="24"/>
              </w:rPr>
              <w:t>元、實收資本額增為新台幣</w:t>
            </w:r>
            <w:r w:rsidRPr="008E2DD7">
              <w:rPr>
                <w:rFonts w:ascii="Times New Roman" w:hAnsi="Times New Roman"/>
                <w:snapToGrid w:val="0"/>
                <w:color w:val="auto"/>
                <w:kern w:val="0"/>
                <w:sz w:val="24"/>
                <w:szCs w:val="24"/>
              </w:rPr>
              <w:t>1,029,717,970</w:t>
            </w:r>
            <w:r w:rsidRPr="008E2DD7">
              <w:rPr>
                <w:rFonts w:ascii="Times New Roman" w:hAnsi="Times New Roman" w:hint="eastAsia"/>
                <w:snapToGrid w:val="0"/>
                <w:color w:val="auto"/>
                <w:kern w:val="0"/>
                <w:sz w:val="24"/>
                <w:szCs w:val="24"/>
              </w:rPr>
              <w:t>元整。</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spacing w:val="-2"/>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03</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spacing w:val="-2"/>
                <w:kern w:val="0"/>
                <w:sz w:val="24"/>
                <w:szCs w:val="24"/>
              </w:rPr>
              <w:t>承接宜蘭縣政府宜蘭地區水資源回收中心代操作維護管理工作。</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spacing w:val="-2"/>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04</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spacing w:val="-2"/>
                <w:kern w:val="0"/>
                <w:sz w:val="24"/>
                <w:szCs w:val="24"/>
              </w:rPr>
              <w:t>承接台中市政府台中市福田水資源回收中心委託代操作維護案。</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06</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承接交通部觀光局日月潭國家風景區管理處</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w:t>
            </w:r>
            <w:r w:rsidRPr="008E2DD7">
              <w:rPr>
                <w:rFonts w:ascii="Times New Roman" w:hAnsi="Times New Roman"/>
                <w:snapToGrid w:val="0"/>
                <w:color w:val="auto"/>
                <w:kern w:val="0"/>
                <w:sz w:val="24"/>
                <w:szCs w:val="24"/>
              </w:rPr>
              <w:t>104</w:t>
            </w:r>
            <w:r w:rsidRPr="008E2DD7">
              <w:rPr>
                <w:rFonts w:ascii="Times New Roman" w:hAnsi="Times New Roman" w:hint="eastAsia"/>
                <w:snapToGrid w:val="0"/>
                <w:color w:val="auto"/>
                <w:kern w:val="0"/>
                <w:sz w:val="24"/>
                <w:szCs w:val="24"/>
              </w:rPr>
              <w:t>年度日月潭風景區污水處理廠及下水道系統委外代操作維護。</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06</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承接台中市政府水利局水湳經貿園區水資源回收中心新建工程（含工程完工後三年試運轉）案。</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06</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承接經濟部加工出口區管理處臺中分處臺中加工出口區污水處理廠新建工程（含工程完工後三年試運轉）案。</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06</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承接科技部新竹科學工業園區管理局園區龍潭基地污水處理廠第二期第一階段工程案。</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09</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spacing w:val="-10"/>
                <w:kern w:val="0"/>
                <w:sz w:val="24"/>
                <w:szCs w:val="24"/>
              </w:rPr>
              <w:t>現金增資新台幣</w:t>
            </w:r>
            <w:r w:rsidRPr="008E2DD7">
              <w:rPr>
                <w:rFonts w:ascii="Times New Roman" w:hAnsi="Times New Roman"/>
                <w:snapToGrid w:val="0"/>
                <w:color w:val="auto"/>
                <w:spacing w:val="-10"/>
                <w:kern w:val="0"/>
                <w:sz w:val="24"/>
                <w:szCs w:val="24"/>
              </w:rPr>
              <w:t>80,000,000</w:t>
            </w:r>
            <w:r w:rsidRPr="008E2DD7">
              <w:rPr>
                <w:rFonts w:ascii="Times New Roman" w:hAnsi="Times New Roman" w:hint="eastAsia"/>
                <w:snapToGrid w:val="0"/>
                <w:color w:val="auto"/>
                <w:spacing w:val="-10"/>
                <w:kern w:val="0"/>
                <w:sz w:val="24"/>
                <w:szCs w:val="24"/>
              </w:rPr>
              <w:t>元，實收資本額增為新台幣</w:t>
            </w:r>
            <w:r w:rsidRPr="008E2DD7">
              <w:rPr>
                <w:rFonts w:ascii="Times New Roman" w:hAnsi="Times New Roman"/>
                <w:snapToGrid w:val="0"/>
                <w:color w:val="auto"/>
                <w:spacing w:val="-10"/>
                <w:kern w:val="0"/>
                <w:sz w:val="24"/>
                <w:szCs w:val="24"/>
              </w:rPr>
              <w:t>1,109,717,970</w:t>
            </w:r>
            <w:r w:rsidRPr="008E2DD7">
              <w:rPr>
                <w:rFonts w:ascii="Times New Roman" w:hAnsi="Times New Roman" w:hint="eastAsia"/>
                <w:snapToGrid w:val="0"/>
                <w:color w:val="auto"/>
                <w:kern w:val="0"/>
                <w:sz w:val="24"/>
                <w:szCs w:val="24"/>
              </w:rPr>
              <w:t>元整。</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年</w:t>
            </w:r>
            <w:r w:rsidRPr="008E2DD7">
              <w:rPr>
                <w:rFonts w:ascii="Times New Roman" w:hAnsi="Times New Roman"/>
                <w:snapToGrid w:val="0"/>
                <w:color w:val="auto"/>
                <w:kern w:val="0"/>
                <w:sz w:val="24"/>
                <w:szCs w:val="24"/>
              </w:rPr>
              <w:t>11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承接彰化縣政府彰化市污水下水道系統水資源回收中心及主次幹管統包工程案。</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年</w:t>
            </w:r>
            <w:r w:rsidRPr="008E2DD7">
              <w:rPr>
                <w:rFonts w:ascii="Times New Roman" w:hAnsi="Times New Roman"/>
                <w:snapToGrid w:val="0"/>
                <w:color w:val="auto"/>
                <w:kern w:val="0"/>
                <w:sz w:val="24"/>
                <w:szCs w:val="24"/>
              </w:rPr>
              <w:t>11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spacing w:val="-4"/>
                <w:kern w:val="0"/>
                <w:sz w:val="24"/>
                <w:szCs w:val="24"/>
              </w:rPr>
              <w:t>承接科技部中部科學工業園區管理局中部科學工業園區</w:t>
            </w:r>
            <w:r w:rsidRPr="008E2DD7">
              <w:rPr>
                <w:rFonts w:ascii="Times New Roman" w:hAnsi="Times New Roman"/>
                <w:snapToGrid w:val="0"/>
                <w:color w:val="auto"/>
                <w:spacing w:val="-4"/>
                <w:kern w:val="0"/>
                <w:sz w:val="24"/>
                <w:szCs w:val="24"/>
              </w:rPr>
              <w:t>104</w:t>
            </w:r>
            <w:r w:rsidRPr="008E2DD7">
              <w:rPr>
                <w:rFonts w:ascii="Times New Roman" w:hAnsi="Times New Roman" w:hint="eastAsia"/>
                <w:snapToGrid w:val="0"/>
                <w:color w:val="auto"/>
                <w:spacing w:val="-4"/>
                <w:kern w:val="0"/>
                <w:sz w:val="24"/>
                <w:szCs w:val="24"/>
              </w:rPr>
              <w:t>～</w:t>
            </w:r>
            <w:r w:rsidRPr="008E2DD7">
              <w:rPr>
                <w:rFonts w:ascii="Times New Roman" w:hAnsi="Times New Roman"/>
                <w:snapToGrid w:val="0"/>
                <w:color w:val="auto"/>
                <w:spacing w:val="-4"/>
                <w:kern w:val="0"/>
                <w:sz w:val="24"/>
                <w:szCs w:val="24"/>
              </w:rPr>
              <w:t>108</w:t>
            </w:r>
            <w:r w:rsidRPr="008E2DD7">
              <w:rPr>
                <w:rFonts w:ascii="Times New Roman" w:hAnsi="Times New Roman" w:hint="eastAsia"/>
                <w:snapToGrid w:val="0"/>
                <w:color w:val="auto"/>
                <w:kern w:val="0"/>
                <w:sz w:val="24"/>
                <w:szCs w:val="24"/>
              </w:rPr>
              <w:t>年台中園區污水下水道系統操作維護工作案。</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Fonts w:ascii="Times New Roman"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年</w:t>
            </w:r>
            <w:r w:rsidRPr="008E2DD7">
              <w:rPr>
                <w:rFonts w:ascii="Times New Roman" w:hAnsi="Times New Roman"/>
                <w:snapToGrid w:val="0"/>
                <w:color w:val="auto"/>
                <w:kern w:val="0"/>
                <w:sz w:val="24"/>
                <w:szCs w:val="24"/>
              </w:rPr>
              <w:t>11</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員工認股權憑證執行增資新台幣</w:t>
            </w:r>
            <w:r w:rsidRPr="008E2DD7">
              <w:rPr>
                <w:rFonts w:ascii="Times New Roman" w:hAnsi="Times New Roman"/>
                <w:snapToGrid w:val="0"/>
                <w:color w:val="auto"/>
                <w:kern w:val="0"/>
                <w:sz w:val="24"/>
                <w:szCs w:val="24"/>
              </w:rPr>
              <w:t>22,155,000</w:t>
            </w:r>
            <w:r w:rsidRPr="008E2DD7">
              <w:rPr>
                <w:rFonts w:ascii="Times New Roman" w:hAnsi="Times New Roman" w:hint="eastAsia"/>
                <w:snapToGrid w:val="0"/>
                <w:color w:val="auto"/>
                <w:kern w:val="0"/>
                <w:sz w:val="24"/>
                <w:szCs w:val="24"/>
              </w:rPr>
              <w:t>元，實收資本額增為新台幣</w:t>
            </w:r>
            <w:r w:rsidRPr="008E2DD7">
              <w:rPr>
                <w:rFonts w:ascii="Times New Roman" w:hAnsi="Times New Roman"/>
                <w:snapToGrid w:val="0"/>
                <w:color w:val="auto"/>
                <w:kern w:val="0"/>
                <w:sz w:val="24"/>
                <w:szCs w:val="24"/>
              </w:rPr>
              <w:t>1,131,872,970</w:t>
            </w:r>
            <w:r w:rsidRPr="008E2DD7">
              <w:rPr>
                <w:rFonts w:ascii="Times New Roman" w:hAnsi="Times New Roman" w:hint="eastAsia"/>
                <w:snapToGrid w:val="0"/>
                <w:color w:val="auto"/>
                <w:kern w:val="0"/>
                <w:sz w:val="24"/>
                <w:szCs w:val="24"/>
              </w:rPr>
              <w:t>元整。</w:t>
            </w:r>
          </w:p>
          <w:p w:rsidR="00415792" w:rsidRPr="008E2DD7" w:rsidRDefault="00415792" w:rsidP="00AF1E34">
            <w:pPr>
              <w:pStyle w:val="w"/>
              <w:tabs>
                <w:tab w:val="left" w:pos="2519"/>
                <w:tab w:val="left" w:pos="3005"/>
              </w:tabs>
              <w:spacing w:beforeLines="0" w:afterLines="0" w:line="360" w:lineRule="exact"/>
              <w:ind w:leftChars="0" w:left="2517" w:firstLineChars="0" w:hanging="2268"/>
              <w:rPr>
                <w:rStyle w:val="HTMLTypewriter"/>
                <w:rFonts w:ascii="Times New Roman" w:eastAsia="標楷體" w:hAnsi="Times New Roman"/>
                <w:snapToGrid w:val="0"/>
                <w:color w:val="auto"/>
                <w:kern w:val="0"/>
                <w:sz w:val="24"/>
                <w:szCs w:val="24"/>
              </w:rPr>
            </w:pPr>
            <w:r w:rsidRPr="008E2DD7">
              <w:rPr>
                <w:rFonts w:ascii="Times New Roman" w:hAnsi="Times New Roman" w:hint="eastAsia"/>
                <w:snapToGrid w:val="0"/>
                <w:color w:val="auto"/>
                <w:kern w:val="0"/>
                <w:sz w:val="24"/>
                <w:szCs w:val="24"/>
              </w:rPr>
              <w:t>民國</w:t>
            </w:r>
            <w:r w:rsidRPr="008E2DD7">
              <w:rPr>
                <w:rFonts w:ascii="Times New Roman" w:hAnsi="Times New Roman"/>
                <w:snapToGrid w:val="0"/>
                <w:color w:val="auto"/>
                <w:kern w:val="0"/>
                <w:sz w:val="24"/>
                <w:szCs w:val="24"/>
              </w:rPr>
              <w:t>103</w:t>
            </w:r>
            <w:r w:rsidRPr="008E2DD7">
              <w:rPr>
                <w:rFonts w:ascii="Times New Roman" w:hAnsi="Times New Roman" w:hint="eastAsia"/>
                <w:snapToGrid w:val="0"/>
                <w:color w:val="auto"/>
                <w:kern w:val="0"/>
                <w:sz w:val="24"/>
                <w:szCs w:val="24"/>
              </w:rPr>
              <w:t>年</w:t>
            </w:r>
            <w:r w:rsidRPr="008E2DD7">
              <w:rPr>
                <w:rFonts w:ascii="Times New Roman" w:hAnsi="Times New Roman"/>
                <w:snapToGrid w:val="0"/>
                <w:color w:val="auto"/>
                <w:kern w:val="0"/>
                <w:sz w:val="24"/>
                <w:szCs w:val="24"/>
              </w:rPr>
              <w:t>12</w:t>
            </w:r>
            <w:r w:rsidRPr="008E2DD7">
              <w:rPr>
                <w:rFonts w:ascii="Times New Roman" w:hAnsi="Times New Roman" w:hint="eastAsia"/>
                <w:snapToGrid w:val="0"/>
                <w:color w:val="auto"/>
                <w:kern w:val="0"/>
                <w:sz w:val="24"/>
                <w:szCs w:val="24"/>
              </w:rPr>
              <w:t>月</w:t>
            </w:r>
            <w:r w:rsidRPr="008E2DD7">
              <w:rPr>
                <w:rFonts w:ascii="Times New Roman" w:hAnsi="Times New Roman"/>
                <w:snapToGrid w:val="0"/>
                <w:color w:val="auto"/>
                <w:kern w:val="0"/>
                <w:sz w:val="24"/>
                <w:szCs w:val="24"/>
              </w:rPr>
              <w:tab/>
            </w:r>
            <w:r w:rsidRPr="008E2DD7">
              <w:rPr>
                <w:rFonts w:ascii="Times New Roman" w:hAnsi="Times New Roman" w:hint="eastAsia"/>
                <w:snapToGrid w:val="0"/>
                <w:color w:val="auto"/>
                <w:kern w:val="0"/>
                <w:sz w:val="24"/>
                <w:szCs w:val="24"/>
              </w:rPr>
              <w:t>核准股票公開發行。</w:t>
            </w:r>
          </w:p>
          <w:p w:rsidR="00415792" w:rsidRPr="008E2DD7" w:rsidRDefault="00415792" w:rsidP="00415792">
            <w:pPr>
              <w:pStyle w:val="HTMLPreformatted"/>
              <w:spacing w:beforeLines="50" w:afterLines="50"/>
              <w:ind w:rightChars="63" w:right="31680"/>
              <w:jc w:val="both"/>
              <w:rPr>
                <w:rStyle w:val="HTMLTypewriter"/>
                <w:rFonts w:ascii="Times New Roman" w:eastAsia="標楷體" w:hAnsi="Times New Roman"/>
                <w:b/>
                <w:sz w:val="24"/>
                <w:szCs w:val="24"/>
              </w:rPr>
            </w:pPr>
            <w:r w:rsidRPr="008E2DD7">
              <w:rPr>
                <w:rStyle w:val="HTMLTypewriter"/>
                <w:rFonts w:ascii="Times New Roman" w:eastAsia="標楷體" w:hAnsi="Times New Roman" w:hint="eastAsia"/>
                <w:b/>
                <w:sz w:val="24"/>
                <w:szCs w:val="24"/>
              </w:rPr>
              <w:t>三、經營理念：</w:t>
            </w:r>
            <w:r w:rsidRPr="008E2DD7">
              <w:rPr>
                <w:rStyle w:val="HTMLTypewriter"/>
                <w:rFonts w:ascii="Times New Roman" w:eastAsia="標楷體" w:hAnsi="Times New Roman"/>
                <w:b/>
                <w:sz w:val="24"/>
                <w:szCs w:val="24"/>
              </w:rPr>
              <w:t xml:space="preserve">   </w:t>
            </w:r>
          </w:p>
          <w:p w:rsidR="00415792" w:rsidRPr="008E2DD7" w:rsidRDefault="00415792" w:rsidP="00415792">
            <w:pPr>
              <w:pStyle w:val="BlockText"/>
              <w:numPr>
                <w:ilvl w:val="0"/>
                <w:numId w:val="6"/>
              </w:numPr>
              <w:adjustRightInd w:val="0"/>
              <w:snapToGrid w:val="0"/>
              <w:spacing w:before="180" w:after="100" w:afterAutospacing="1" w:line="300" w:lineRule="exact"/>
              <w:ind w:leftChars="104" w:left="31680" w:right="31680" w:firstLineChars="0" w:firstLine="0"/>
              <w:rPr>
                <w:color w:val="000000"/>
                <w:sz w:val="24"/>
                <w:szCs w:val="24"/>
              </w:rPr>
            </w:pPr>
            <w:r w:rsidRPr="008E2DD7">
              <w:rPr>
                <w:rFonts w:hint="eastAsia"/>
                <w:color w:val="000000"/>
                <w:sz w:val="24"/>
                <w:szCs w:val="24"/>
              </w:rPr>
              <w:t>系統性整合</w:t>
            </w:r>
            <w:r w:rsidRPr="008E2DD7">
              <w:rPr>
                <w:color w:val="000000"/>
                <w:sz w:val="24"/>
                <w:szCs w:val="24"/>
              </w:rPr>
              <w:t xml:space="preserve"> : </w:t>
            </w:r>
            <w:r w:rsidRPr="008E2DD7">
              <w:rPr>
                <w:rFonts w:hint="eastAsia"/>
                <w:color w:val="000000"/>
                <w:sz w:val="24"/>
                <w:szCs w:val="24"/>
              </w:rPr>
              <w:t>成為上、中、下游最佳的合作夥伴。</w:t>
            </w:r>
          </w:p>
          <w:p w:rsidR="00415792" w:rsidRPr="008E2DD7" w:rsidRDefault="00415792" w:rsidP="00415792">
            <w:pPr>
              <w:pStyle w:val="BlockText"/>
              <w:numPr>
                <w:ilvl w:val="0"/>
                <w:numId w:val="6"/>
              </w:numPr>
              <w:adjustRightInd w:val="0"/>
              <w:snapToGrid w:val="0"/>
              <w:spacing w:before="180" w:after="100" w:afterAutospacing="1" w:line="300" w:lineRule="exact"/>
              <w:ind w:leftChars="104" w:left="31680" w:right="31680" w:firstLineChars="0" w:firstLine="0"/>
              <w:rPr>
                <w:color w:val="000000"/>
                <w:sz w:val="24"/>
                <w:szCs w:val="24"/>
              </w:rPr>
            </w:pPr>
            <w:r w:rsidRPr="008E2DD7">
              <w:rPr>
                <w:rFonts w:hint="eastAsia"/>
                <w:color w:val="000000"/>
                <w:sz w:val="24"/>
                <w:szCs w:val="24"/>
              </w:rPr>
              <w:t>專業品質</w:t>
            </w:r>
            <w:r w:rsidRPr="008E2DD7">
              <w:rPr>
                <w:color w:val="000000"/>
                <w:sz w:val="24"/>
                <w:szCs w:val="24"/>
              </w:rPr>
              <w:t xml:space="preserve"> : </w:t>
            </w:r>
            <w:r w:rsidRPr="008E2DD7">
              <w:rPr>
                <w:rFonts w:hint="eastAsia"/>
                <w:color w:val="000000"/>
                <w:sz w:val="24"/>
                <w:szCs w:val="24"/>
              </w:rPr>
              <w:t>確實達成業主對於品質、工期的要求。</w:t>
            </w:r>
            <w:r w:rsidRPr="008E2DD7">
              <w:rPr>
                <w:color w:val="000000"/>
                <w:sz w:val="24"/>
                <w:szCs w:val="24"/>
              </w:rPr>
              <w:t xml:space="preserve"> </w:t>
            </w:r>
          </w:p>
          <w:p w:rsidR="00415792" w:rsidRPr="008E2DD7" w:rsidRDefault="00415792" w:rsidP="00415792">
            <w:pPr>
              <w:pStyle w:val="BlockText"/>
              <w:numPr>
                <w:ilvl w:val="0"/>
                <w:numId w:val="6"/>
              </w:numPr>
              <w:adjustRightInd w:val="0"/>
              <w:snapToGrid w:val="0"/>
              <w:spacing w:before="180" w:after="100" w:afterAutospacing="1" w:line="300" w:lineRule="exact"/>
              <w:ind w:leftChars="104" w:left="31680" w:right="31680" w:firstLineChars="0" w:firstLine="0"/>
              <w:rPr>
                <w:color w:val="000000"/>
                <w:sz w:val="24"/>
                <w:szCs w:val="24"/>
              </w:rPr>
            </w:pPr>
            <w:r w:rsidRPr="008E2DD7">
              <w:rPr>
                <w:rFonts w:hint="eastAsia"/>
                <w:color w:val="000000"/>
                <w:sz w:val="24"/>
                <w:szCs w:val="24"/>
              </w:rPr>
              <w:t>研究開發</w:t>
            </w:r>
            <w:r w:rsidRPr="008E2DD7">
              <w:rPr>
                <w:color w:val="000000"/>
                <w:sz w:val="24"/>
                <w:szCs w:val="24"/>
              </w:rPr>
              <w:t xml:space="preserve"> : </w:t>
            </w:r>
            <w:r w:rsidRPr="008E2DD7">
              <w:rPr>
                <w:rFonts w:hint="eastAsia"/>
                <w:color w:val="000000"/>
                <w:sz w:val="24"/>
                <w:szCs w:val="24"/>
              </w:rPr>
              <w:t>突破現況整合多元性技術。</w:t>
            </w:r>
          </w:p>
          <w:p w:rsidR="00415792" w:rsidRPr="008E2DD7" w:rsidRDefault="00415792" w:rsidP="00415792">
            <w:pPr>
              <w:pStyle w:val="BlockText"/>
              <w:numPr>
                <w:ilvl w:val="0"/>
                <w:numId w:val="6"/>
              </w:numPr>
              <w:adjustRightInd w:val="0"/>
              <w:snapToGrid w:val="0"/>
              <w:spacing w:before="180" w:line="300" w:lineRule="exact"/>
              <w:ind w:leftChars="104" w:left="31680" w:right="31680" w:firstLineChars="0" w:firstLine="0"/>
              <w:rPr>
                <w:color w:val="000000"/>
                <w:sz w:val="24"/>
                <w:szCs w:val="24"/>
              </w:rPr>
            </w:pPr>
            <w:r w:rsidRPr="008E2DD7">
              <w:rPr>
                <w:rFonts w:hint="eastAsia"/>
                <w:color w:val="000000"/>
                <w:sz w:val="24"/>
                <w:szCs w:val="24"/>
              </w:rPr>
              <w:t>技術輸出</w:t>
            </w:r>
            <w:r w:rsidRPr="008E2DD7">
              <w:rPr>
                <w:color w:val="000000"/>
                <w:sz w:val="24"/>
                <w:szCs w:val="24"/>
              </w:rPr>
              <w:t xml:space="preserve"> : </w:t>
            </w:r>
            <w:r w:rsidRPr="008E2DD7">
              <w:rPr>
                <w:rFonts w:hint="eastAsia"/>
                <w:color w:val="000000"/>
                <w:sz w:val="24"/>
                <w:szCs w:val="24"/>
              </w:rPr>
              <w:t>發揮優勢拓展海外市場。</w:t>
            </w:r>
          </w:p>
          <w:p w:rsidR="00415792" w:rsidRPr="008E2DD7" w:rsidRDefault="00415792" w:rsidP="00415792">
            <w:pPr>
              <w:pStyle w:val="BlockText"/>
              <w:adjustRightInd w:val="0"/>
              <w:snapToGrid w:val="0"/>
              <w:spacing w:beforeLines="40" w:after="100" w:afterAutospacing="1" w:line="360" w:lineRule="exact"/>
              <w:ind w:leftChars="163" w:left="31680" w:rightChars="197" w:right="31680" w:firstLineChars="139" w:firstLine="31680"/>
              <w:rPr>
                <w:color w:val="000000"/>
                <w:sz w:val="24"/>
                <w:szCs w:val="24"/>
              </w:rPr>
            </w:pPr>
            <w:r w:rsidRPr="008E2DD7">
              <w:rPr>
                <w:rFonts w:hint="eastAsia"/>
                <w:color w:val="000000"/>
                <w:sz w:val="24"/>
                <w:szCs w:val="24"/>
              </w:rPr>
              <w:t>為時代變遷，本公司可因應社會、經濟、法令、環境之變遷拓展各種專業領域。例如</w:t>
            </w:r>
            <w:r w:rsidRPr="008E2DD7">
              <w:rPr>
                <w:color w:val="000000"/>
                <w:sz w:val="24"/>
                <w:szCs w:val="24"/>
              </w:rPr>
              <w:t>(1)</w:t>
            </w:r>
            <w:r w:rsidRPr="008E2DD7">
              <w:rPr>
                <w:rFonts w:hint="eastAsia"/>
                <w:color w:val="000000"/>
                <w:sz w:val="24"/>
                <w:szCs w:val="24"/>
              </w:rPr>
              <w:t>配合政策推動、法令變更：如提升都市污水下水道普及率、廢﹙污﹚水處理廠營運管理、土壤及地下水污染調查、整治、復育各種特性等。</w:t>
            </w:r>
            <w:r w:rsidRPr="008E2DD7">
              <w:rPr>
                <w:color w:val="000000"/>
                <w:sz w:val="24"/>
                <w:szCs w:val="24"/>
              </w:rPr>
              <w:t>(2)</w:t>
            </w:r>
            <w:r w:rsidRPr="008E2DD7">
              <w:rPr>
                <w:rFonts w:hint="eastAsia"/>
                <w:color w:val="000000"/>
                <w:sz w:val="24"/>
                <w:szCs w:val="24"/>
              </w:rPr>
              <w:t>配合環境、社會需求：如有機事業廢棄物回收再利用、海水淡化、中水回收、污泥處理回收再利用、再生能源開發等。</w:t>
            </w:r>
          </w:p>
          <w:p w:rsidR="00415792" w:rsidRDefault="00415792" w:rsidP="00415792">
            <w:pPr>
              <w:spacing w:beforeLines="50" w:afterLines="50"/>
              <w:ind w:rightChars="63" w:right="31680"/>
              <w:jc w:val="both"/>
              <w:rPr>
                <w:rStyle w:val="HTMLTypewriter"/>
                <w:rFonts w:ascii="Times New Roman" w:eastAsia="標楷體" w:hAnsi="Times New Roman"/>
                <w:b/>
                <w:sz w:val="24"/>
              </w:rPr>
            </w:pPr>
          </w:p>
          <w:p w:rsidR="00415792" w:rsidRPr="008E2DD7" w:rsidRDefault="00415792" w:rsidP="00415792">
            <w:pPr>
              <w:spacing w:beforeLines="50" w:afterLines="50"/>
              <w:ind w:rightChars="63" w:right="31680"/>
              <w:jc w:val="both"/>
              <w:rPr>
                <w:rStyle w:val="HTMLTypewriter"/>
                <w:rFonts w:ascii="Times New Roman" w:eastAsia="標楷體" w:hAnsi="Times New Roman"/>
                <w:b/>
                <w:sz w:val="24"/>
              </w:rPr>
            </w:pPr>
            <w:r w:rsidRPr="008E2DD7">
              <w:rPr>
                <w:rStyle w:val="HTMLTypewriter"/>
                <w:rFonts w:ascii="Times New Roman" w:eastAsia="標楷體" w:hAnsi="Times New Roman" w:hint="eastAsia"/>
                <w:b/>
                <w:sz w:val="24"/>
              </w:rPr>
              <w:t>四、未來展望：</w:t>
            </w:r>
          </w:p>
          <w:p w:rsidR="00415792" w:rsidRPr="008E2DD7" w:rsidRDefault="00415792" w:rsidP="00415792">
            <w:pPr>
              <w:pStyle w:val="BlockText"/>
              <w:numPr>
                <w:ilvl w:val="0"/>
                <w:numId w:val="7"/>
              </w:numPr>
              <w:adjustRightInd w:val="0"/>
              <w:snapToGrid w:val="0"/>
              <w:spacing w:beforeLines="0" w:after="100" w:afterAutospacing="1"/>
              <w:ind w:leftChars="105" w:left="31680" w:right="31680" w:hangingChars="117" w:firstLine="31680"/>
              <w:rPr>
                <w:bCs/>
                <w:color w:val="000000"/>
                <w:sz w:val="24"/>
                <w:szCs w:val="24"/>
              </w:rPr>
            </w:pPr>
            <w:r w:rsidRPr="008E2DD7">
              <w:rPr>
                <w:rFonts w:hint="eastAsia"/>
                <w:bCs/>
                <w:color w:val="000000"/>
                <w:sz w:val="24"/>
                <w:szCs w:val="24"/>
              </w:rPr>
              <w:t>確保股東最大利益及公司之永續發展</w:t>
            </w:r>
            <w:r w:rsidRPr="008E2DD7">
              <w:rPr>
                <w:rFonts w:hint="eastAsia"/>
                <w:color w:val="000000"/>
                <w:sz w:val="24"/>
                <w:szCs w:val="24"/>
              </w:rPr>
              <w:t>。</w:t>
            </w:r>
          </w:p>
          <w:p w:rsidR="00415792" w:rsidRPr="008E2DD7" w:rsidRDefault="00415792" w:rsidP="00415792">
            <w:pPr>
              <w:pStyle w:val="BlockText"/>
              <w:numPr>
                <w:ilvl w:val="0"/>
                <w:numId w:val="7"/>
              </w:numPr>
              <w:adjustRightInd w:val="0"/>
              <w:snapToGrid w:val="0"/>
              <w:spacing w:beforeLines="0" w:after="100" w:afterAutospacing="1"/>
              <w:ind w:leftChars="105" w:left="31680" w:right="31680" w:hangingChars="117" w:firstLine="31680"/>
              <w:rPr>
                <w:bCs/>
                <w:color w:val="000000"/>
                <w:sz w:val="24"/>
                <w:szCs w:val="24"/>
              </w:rPr>
            </w:pPr>
            <w:r w:rsidRPr="008E2DD7">
              <w:rPr>
                <w:rFonts w:hint="eastAsia"/>
                <w:bCs/>
                <w:color w:val="000000"/>
                <w:sz w:val="24"/>
                <w:szCs w:val="24"/>
              </w:rPr>
              <w:t>追求最佳之客戶滿意度及不斷的創新研發技術</w:t>
            </w:r>
            <w:r w:rsidRPr="008E2DD7">
              <w:rPr>
                <w:rFonts w:hint="eastAsia"/>
                <w:color w:val="000000"/>
                <w:sz w:val="24"/>
                <w:szCs w:val="24"/>
              </w:rPr>
              <w:t>。</w:t>
            </w:r>
          </w:p>
          <w:p w:rsidR="00415792" w:rsidRPr="008E2DD7" w:rsidRDefault="00415792" w:rsidP="00415792">
            <w:pPr>
              <w:pStyle w:val="BlockText"/>
              <w:numPr>
                <w:ilvl w:val="0"/>
                <w:numId w:val="7"/>
              </w:numPr>
              <w:adjustRightInd w:val="0"/>
              <w:snapToGrid w:val="0"/>
              <w:spacing w:beforeLines="0" w:after="100" w:afterAutospacing="1"/>
              <w:ind w:leftChars="105" w:left="31680" w:right="31680" w:hangingChars="117" w:firstLine="31680"/>
              <w:rPr>
                <w:color w:val="000000"/>
                <w:sz w:val="24"/>
                <w:szCs w:val="24"/>
              </w:rPr>
            </w:pPr>
            <w:r w:rsidRPr="008E2DD7">
              <w:rPr>
                <w:rFonts w:hint="eastAsia"/>
                <w:color w:val="000000"/>
                <w:sz w:val="24"/>
                <w:szCs w:val="24"/>
              </w:rPr>
              <w:t>持續研究開發節能之產品應用，結合節能減碳之環保議題；持續運用本公司出廠設備符合綠能及碳排放議題之長期規劃。</w:t>
            </w:r>
          </w:p>
          <w:p w:rsidR="00415792" w:rsidRPr="008E2DD7" w:rsidRDefault="00415792" w:rsidP="00415792">
            <w:pPr>
              <w:pStyle w:val="BlockText"/>
              <w:numPr>
                <w:ilvl w:val="0"/>
                <w:numId w:val="7"/>
              </w:numPr>
              <w:adjustRightInd w:val="0"/>
              <w:snapToGrid w:val="0"/>
              <w:spacing w:beforeLines="0" w:after="100" w:afterAutospacing="1"/>
              <w:ind w:leftChars="105" w:left="31680" w:right="31680" w:hangingChars="117" w:firstLine="31680"/>
            </w:pPr>
            <w:r w:rsidRPr="008E2DD7">
              <w:rPr>
                <w:rFonts w:hint="eastAsia"/>
                <w:color w:val="000000"/>
                <w:sz w:val="24"/>
                <w:szCs w:val="24"/>
              </w:rPr>
              <w:t>完成八大工程領域佈局：</w:t>
            </w:r>
            <w:r w:rsidRPr="008E2DD7">
              <w:rPr>
                <w:color w:val="000000"/>
                <w:sz w:val="24"/>
                <w:szCs w:val="24"/>
              </w:rPr>
              <w:t>(1)</w:t>
            </w:r>
            <w:r w:rsidRPr="008E2DD7">
              <w:rPr>
                <w:rFonts w:hint="eastAsia"/>
                <w:color w:val="000000"/>
                <w:sz w:val="24"/>
                <w:szCs w:val="24"/>
              </w:rPr>
              <w:t>都市污水下水道系統工程</w:t>
            </w:r>
            <w:r w:rsidRPr="008E2DD7">
              <w:rPr>
                <w:color w:val="000000"/>
                <w:sz w:val="24"/>
                <w:szCs w:val="24"/>
              </w:rPr>
              <w:t>(2)</w:t>
            </w:r>
            <w:r w:rsidRPr="008E2DD7">
              <w:rPr>
                <w:rFonts w:hint="eastAsia"/>
                <w:color w:val="000000"/>
                <w:sz w:val="24"/>
                <w:szCs w:val="24"/>
              </w:rPr>
              <w:t>廢﹙污﹚水處理廠營運管理</w:t>
            </w:r>
            <w:r w:rsidRPr="008E2DD7">
              <w:rPr>
                <w:color w:val="000000"/>
                <w:sz w:val="24"/>
                <w:szCs w:val="24"/>
              </w:rPr>
              <w:t>(3)</w:t>
            </w:r>
            <w:r w:rsidRPr="008E2DD7">
              <w:rPr>
                <w:rFonts w:hint="eastAsia"/>
                <w:color w:val="000000"/>
                <w:sz w:val="24"/>
                <w:szCs w:val="24"/>
              </w:rPr>
              <w:t>土壤及地下水污染整治、復育</w:t>
            </w:r>
            <w:r w:rsidRPr="008E2DD7">
              <w:rPr>
                <w:color w:val="000000"/>
                <w:sz w:val="24"/>
                <w:szCs w:val="24"/>
              </w:rPr>
              <w:t>(4)</w:t>
            </w:r>
            <w:r w:rsidRPr="008E2DD7">
              <w:rPr>
                <w:rFonts w:hint="eastAsia"/>
                <w:color w:val="000000"/>
                <w:sz w:val="24"/>
                <w:szCs w:val="24"/>
              </w:rPr>
              <w:t>有機事業廢棄物回收再利用</w:t>
            </w:r>
            <w:r w:rsidRPr="008E2DD7">
              <w:rPr>
                <w:color w:val="000000"/>
                <w:sz w:val="24"/>
                <w:szCs w:val="24"/>
              </w:rPr>
              <w:t>(5)</w:t>
            </w:r>
            <w:r w:rsidRPr="008E2DD7">
              <w:rPr>
                <w:rFonts w:hint="eastAsia"/>
                <w:color w:val="000000"/>
                <w:sz w:val="24"/>
                <w:szCs w:val="24"/>
              </w:rPr>
              <w:t>海水淡化</w:t>
            </w:r>
            <w:r w:rsidRPr="008E2DD7">
              <w:rPr>
                <w:color w:val="000000"/>
                <w:sz w:val="24"/>
                <w:szCs w:val="24"/>
              </w:rPr>
              <w:t>(6)</w:t>
            </w:r>
            <w:r w:rsidRPr="008E2DD7">
              <w:rPr>
                <w:rFonts w:hint="eastAsia"/>
                <w:color w:val="000000"/>
                <w:sz w:val="24"/>
                <w:szCs w:val="24"/>
              </w:rPr>
              <w:t>中水回收</w:t>
            </w:r>
            <w:r w:rsidRPr="008E2DD7">
              <w:rPr>
                <w:color w:val="000000"/>
                <w:sz w:val="24"/>
                <w:szCs w:val="24"/>
              </w:rPr>
              <w:t>(7)</w:t>
            </w:r>
            <w:r w:rsidRPr="008E2DD7">
              <w:rPr>
                <w:rFonts w:hint="eastAsia"/>
                <w:color w:val="000000"/>
                <w:sz w:val="24"/>
                <w:szCs w:val="24"/>
              </w:rPr>
              <w:t>污泥處理回收再利用</w:t>
            </w:r>
            <w:r w:rsidRPr="008E2DD7">
              <w:rPr>
                <w:color w:val="000000"/>
                <w:sz w:val="24"/>
                <w:szCs w:val="24"/>
              </w:rPr>
              <w:t>(8)</w:t>
            </w:r>
            <w:r w:rsidRPr="008E2DD7">
              <w:rPr>
                <w:rFonts w:hint="eastAsia"/>
                <w:color w:val="000000"/>
                <w:sz w:val="24"/>
                <w:szCs w:val="24"/>
              </w:rPr>
              <w:t>再生能源開發，持續瞭解市場趨勢動態及政策推動方向、法令變更持續更新工程領域比例，冀望於八大工程領域持續成長。</w:t>
            </w:r>
          </w:p>
        </w:tc>
      </w:tr>
    </w:tbl>
    <w:p w:rsidR="00415792" w:rsidRPr="008E2DD7" w:rsidRDefault="00415792" w:rsidP="00E57429">
      <w:pPr>
        <w:jc w:val="both"/>
        <w:rPr>
          <w:rFonts w:eastAsia="標楷體"/>
        </w:rPr>
      </w:pPr>
      <w:r w:rsidRPr="008E2DD7">
        <w:rPr>
          <w:rFonts w:eastAsia="標楷體"/>
        </w:rPr>
        <w:t xml:space="preserve">                                                                          </w:t>
      </w:r>
      <w:hyperlink w:anchor="第一頁" w:history="1">
        <w:r w:rsidRPr="00CA0603">
          <w:rPr>
            <w:rFonts w:eastAsia="標楷體"/>
            <w:noProof/>
          </w:rPr>
          <w:pict>
            <v:shape id="圖片 2" o:spid="_x0000_i1028" type="#_x0000_t75" alt="icon_top" href="#2A" style="width:32.25pt;height:12pt;visibility:visible" o:button="t">
              <v:fill o:detectmouseclick="t"/>
              <v:imagedata r:id="rId9" o:title=""/>
            </v:shape>
          </w:pict>
        </w:r>
      </w:hyperlink>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3240"/>
        <w:gridCol w:w="1260"/>
        <w:gridCol w:w="1980"/>
        <w:gridCol w:w="1283"/>
      </w:tblGrid>
      <w:tr w:rsidR="00415792" w:rsidRPr="008E2DD7" w:rsidTr="00EC4138">
        <w:trPr>
          <w:cantSplit/>
          <w:trHeight w:val="1530"/>
        </w:trPr>
        <w:tc>
          <w:tcPr>
            <w:tcW w:w="9771" w:type="dxa"/>
            <w:gridSpan w:val="5"/>
          </w:tcPr>
          <w:p w:rsidR="00415792" w:rsidRPr="00E1564B" w:rsidRDefault="00415792" w:rsidP="00E1564B">
            <w:pPr>
              <w:autoSpaceDE w:val="0"/>
              <w:autoSpaceDN w:val="0"/>
              <w:adjustRightInd w:val="0"/>
              <w:rPr>
                <w:rFonts w:eastAsia="標楷體"/>
                <w:b/>
                <w:color w:val="000000"/>
              </w:rPr>
            </w:pPr>
            <w:r w:rsidRPr="00E1564B">
              <w:rPr>
                <w:rFonts w:eastAsia="標楷體" w:hint="eastAsia"/>
                <w:b/>
                <w:color w:val="000000"/>
              </w:rPr>
              <w:t>主要業務項目：</w:t>
            </w:r>
          </w:p>
          <w:p w:rsidR="00415792" w:rsidRDefault="00415792" w:rsidP="00E1564B">
            <w:pPr>
              <w:tabs>
                <w:tab w:val="left" w:pos="3570"/>
              </w:tabs>
              <w:spacing w:beforeLines="50"/>
              <w:rPr>
                <w:noProof/>
              </w:rPr>
            </w:pPr>
            <w:r>
              <w:rPr>
                <w:rFonts w:eastAsia="標楷體"/>
                <w:color w:val="000000"/>
              </w:rPr>
              <w:t xml:space="preserve">    </w:t>
            </w:r>
            <w:r w:rsidRPr="008E2DD7">
              <w:rPr>
                <w:rFonts w:eastAsia="標楷體" w:hint="eastAsia"/>
                <w:color w:val="000000"/>
              </w:rPr>
              <w:t>山林水環境工程股份有限公司為台灣第一家專業從事都市污水下水道系統工程之環境保護工程專業營造業，從用戶接管到管網鋪設至污水處理廠之建設均建立完整系統之供應鏈，自設立以來始終專注工程的設計、管理及廢﹙污﹚水處理廠營運管理。</w:t>
            </w:r>
          </w:p>
        </w:tc>
      </w:tr>
      <w:tr w:rsidR="00415792" w:rsidRPr="008E2DD7" w:rsidTr="00EC4138">
        <w:trPr>
          <w:cantSplit/>
        </w:trPr>
        <w:tc>
          <w:tcPr>
            <w:tcW w:w="9771" w:type="dxa"/>
            <w:gridSpan w:val="5"/>
          </w:tcPr>
          <w:p w:rsidR="00415792" w:rsidRPr="008E2DD7" w:rsidRDefault="00415792" w:rsidP="0075215E">
            <w:pPr>
              <w:tabs>
                <w:tab w:val="left" w:pos="3570"/>
              </w:tabs>
              <w:spacing w:beforeLines="50"/>
              <w:rPr>
                <w:rFonts w:eastAsia="標楷體"/>
                <w:b/>
                <w:bCs/>
              </w:rPr>
            </w:pPr>
            <w:r w:rsidRPr="008E2DD7">
              <w:rPr>
                <w:rFonts w:eastAsia="標楷體" w:hint="eastAsia"/>
                <w:b/>
                <w:bCs/>
              </w:rPr>
              <w:t>公司所屬產業之上、中、下游結構圖：</w:t>
            </w:r>
          </w:p>
          <w:p w:rsidR="00415792" w:rsidRPr="00AF1E34" w:rsidRDefault="00415792" w:rsidP="0075215E">
            <w:pPr>
              <w:tabs>
                <w:tab w:val="left" w:pos="3570"/>
              </w:tabs>
              <w:spacing w:beforeLines="50"/>
              <w:rPr>
                <w:noProof/>
              </w:rPr>
            </w:pPr>
            <w:r w:rsidRPr="00CA0603">
              <w:rPr>
                <w:rFonts w:eastAsia="標楷體"/>
                <w:b/>
                <w:noProof/>
              </w:rPr>
              <w:pict>
                <v:shape id="圖片 6" o:spid="_x0000_i1029" type="#_x0000_t75" style="width:449.25pt;height:333.75pt;visibility:visible">
                  <v:imagedata r:id="rId10" o:title=""/>
                </v:shape>
              </w:pict>
            </w:r>
          </w:p>
          <w:p w:rsidR="00415792" w:rsidRDefault="00415792" w:rsidP="0075215E">
            <w:pPr>
              <w:tabs>
                <w:tab w:val="left" w:pos="3570"/>
              </w:tabs>
              <w:spacing w:beforeLines="50"/>
              <w:rPr>
                <w:noProof/>
              </w:rPr>
            </w:pPr>
          </w:p>
        </w:tc>
      </w:tr>
      <w:tr w:rsidR="00415792" w:rsidRPr="008E2DD7" w:rsidTr="00EC4138">
        <w:trPr>
          <w:cantSplit/>
          <w:trHeight w:val="5205"/>
        </w:trPr>
        <w:tc>
          <w:tcPr>
            <w:tcW w:w="9771" w:type="dxa"/>
            <w:gridSpan w:val="5"/>
            <w:vAlign w:val="center"/>
          </w:tcPr>
          <w:p w:rsidR="00415792" w:rsidRPr="008E2DD7" w:rsidRDefault="00415792" w:rsidP="0075215E">
            <w:pPr>
              <w:tabs>
                <w:tab w:val="left" w:pos="3570"/>
              </w:tabs>
              <w:spacing w:beforeLines="50"/>
              <w:rPr>
                <w:rFonts w:eastAsia="標楷體"/>
                <w:b/>
                <w:bCs/>
              </w:rPr>
            </w:pPr>
          </w:p>
          <w:p w:rsidR="00415792" w:rsidRPr="008E2DD7" w:rsidRDefault="00415792" w:rsidP="00415792">
            <w:pPr>
              <w:pStyle w:val="a0"/>
              <w:tabs>
                <w:tab w:val="left" w:pos="676"/>
              </w:tabs>
              <w:autoSpaceDE w:val="0"/>
              <w:autoSpaceDN w:val="0"/>
              <w:adjustRightInd w:val="0"/>
              <w:snapToGrid w:val="0"/>
              <w:spacing w:beforeLines="0" w:afterLines="0" w:line="400" w:lineRule="exact"/>
              <w:ind w:leftChars="0" w:left="675" w:rightChars="137" w:right="31680" w:firstLineChars="0" w:firstLine="567"/>
              <w:rPr>
                <w:rFonts w:ascii="Times New Roman" w:hAnsi="Times New Roman"/>
                <w:snapToGrid w:val="0"/>
                <w:color w:val="auto"/>
                <w:kern w:val="0"/>
                <w:sz w:val="24"/>
                <w:szCs w:val="24"/>
                <w:lang w:eastAsia="zh-TW"/>
              </w:rPr>
            </w:pPr>
            <w:r w:rsidRPr="008E2DD7">
              <w:rPr>
                <w:rFonts w:ascii="Times New Roman" w:hAnsi="Times New Roman" w:hint="eastAsia"/>
                <w:snapToGrid w:val="0"/>
                <w:color w:val="auto"/>
                <w:kern w:val="0"/>
                <w:sz w:val="24"/>
                <w:szCs w:val="24"/>
                <w:lang w:eastAsia="zh-TW"/>
              </w:rPr>
              <w:t>專業之環境保護專業營造工程公司，主要承攬下游業主</w:t>
            </w:r>
            <w:r w:rsidRPr="008E2DD7">
              <w:rPr>
                <w:rFonts w:ascii="Times New Roman" w:hAnsi="Times New Roman"/>
                <w:snapToGrid w:val="0"/>
                <w:color w:val="auto"/>
                <w:kern w:val="0"/>
                <w:sz w:val="24"/>
                <w:szCs w:val="24"/>
                <w:lang w:eastAsia="zh-TW"/>
              </w:rPr>
              <w:t>(</w:t>
            </w:r>
            <w:r w:rsidRPr="008E2DD7">
              <w:rPr>
                <w:rFonts w:ascii="Times New Roman" w:hAnsi="Times New Roman" w:hint="eastAsia"/>
                <w:snapToGrid w:val="0"/>
                <w:color w:val="auto"/>
                <w:kern w:val="0"/>
                <w:sz w:val="24"/>
                <w:szCs w:val="24"/>
                <w:lang w:eastAsia="zh-TW"/>
              </w:rPr>
              <w:t>主要為國內各級政府機關</w:t>
            </w:r>
            <w:r w:rsidRPr="008E2DD7">
              <w:rPr>
                <w:rFonts w:ascii="Times New Roman" w:hAnsi="Times New Roman"/>
                <w:snapToGrid w:val="0"/>
                <w:color w:val="auto"/>
                <w:kern w:val="0"/>
                <w:sz w:val="24"/>
                <w:szCs w:val="24"/>
                <w:lang w:eastAsia="zh-TW"/>
              </w:rPr>
              <w:t>)</w:t>
            </w:r>
            <w:r w:rsidRPr="008E2DD7">
              <w:rPr>
                <w:rFonts w:ascii="Times New Roman" w:hAnsi="Times New Roman" w:hint="eastAsia"/>
                <w:snapToGrid w:val="0"/>
                <w:color w:val="auto"/>
                <w:kern w:val="0"/>
                <w:sz w:val="24"/>
                <w:szCs w:val="24"/>
                <w:lang w:eastAsia="zh-TW"/>
              </w:rPr>
              <w:t>之污水廠興建或操作維護合約。無自有之設備工廠，主要材料之供應狀況仍需依業主合約規範之規定而有所不同，在符合規範及功能需求之基礎下向國內外廠商採購，中游進貨包含規劃設計專業顧問、台灣之環保設備製造廠或國外製品之代理商，工程施作部分則遴選具資格及品質之施工廠商；上游供應商之機電設備項目採購依各工程案件屬性主要包括閘門、機械式細攔污柵、閥件、加藥機、污泥濃縮脫水機、鼓風機、抽水機、各類泵浦、電纜、儀錶、分析儀、控制盤等機電材料設備等；而工程項目採購各工程案件屬性主要包括土建工程、管線工程及機械安裝工程、儀控工程、電氣工程、通風空調工程等。</w:t>
            </w:r>
          </w:p>
          <w:p w:rsidR="00415792" w:rsidRDefault="00415792" w:rsidP="00415792">
            <w:pPr>
              <w:pStyle w:val="a0"/>
              <w:tabs>
                <w:tab w:val="left" w:pos="676"/>
              </w:tabs>
              <w:autoSpaceDE w:val="0"/>
              <w:autoSpaceDN w:val="0"/>
              <w:adjustRightInd w:val="0"/>
              <w:snapToGrid w:val="0"/>
              <w:spacing w:beforeLines="0" w:afterLines="0" w:line="400" w:lineRule="exact"/>
              <w:ind w:leftChars="0" w:left="675" w:rightChars="137" w:right="31680" w:firstLineChars="0" w:firstLine="567"/>
              <w:rPr>
                <w:rFonts w:ascii="Times New Roman" w:hAnsi="Times New Roman"/>
                <w:snapToGrid w:val="0"/>
                <w:color w:val="auto"/>
                <w:kern w:val="0"/>
                <w:sz w:val="24"/>
                <w:szCs w:val="24"/>
                <w:lang w:eastAsia="zh-TW"/>
              </w:rPr>
            </w:pPr>
            <w:r w:rsidRPr="008E2DD7">
              <w:rPr>
                <w:rFonts w:ascii="Times New Roman" w:hAnsi="Times New Roman" w:hint="eastAsia"/>
                <w:snapToGrid w:val="0"/>
                <w:color w:val="auto"/>
                <w:kern w:val="0"/>
                <w:sz w:val="24"/>
                <w:szCs w:val="24"/>
                <w:lang w:eastAsia="zh-TW"/>
              </w:rPr>
              <w:t>因環境保護專業營造工程公司之行業特性，為取得可靠而穩定之產品，且為縮短產品取得時程，選擇使用業界信譽優良配合廠商，以及考量設備技術、品質穩定、交期配合等因素，故皆趨向於與特定之設備供應合作廠商維持長期而密切的合作關係。</w:t>
            </w:r>
          </w:p>
          <w:p w:rsidR="00415792" w:rsidRPr="008E2DD7" w:rsidRDefault="00415792" w:rsidP="00415792">
            <w:pPr>
              <w:pStyle w:val="a0"/>
              <w:tabs>
                <w:tab w:val="left" w:pos="676"/>
              </w:tabs>
              <w:autoSpaceDE w:val="0"/>
              <w:autoSpaceDN w:val="0"/>
              <w:adjustRightInd w:val="0"/>
              <w:snapToGrid w:val="0"/>
              <w:spacing w:beforeLines="0" w:afterLines="0" w:line="350" w:lineRule="exact"/>
              <w:ind w:leftChars="0" w:left="676" w:rightChars="137" w:right="31680" w:firstLineChars="0" w:firstLine="567"/>
              <w:rPr>
                <w:rFonts w:ascii="Times New Roman" w:hAnsi="Times New Roman"/>
                <w:snapToGrid w:val="0"/>
                <w:color w:val="auto"/>
                <w:kern w:val="0"/>
                <w:sz w:val="24"/>
                <w:szCs w:val="24"/>
                <w:lang w:eastAsia="zh-TW"/>
              </w:rPr>
            </w:pPr>
          </w:p>
        </w:tc>
      </w:tr>
      <w:tr w:rsidR="00415792" w:rsidRPr="008E2DD7" w:rsidTr="00EC4138">
        <w:trPr>
          <w:cantSplit/>
          <w:trHeight w:val="285"/>
        </w:trPr>
        <w:tc>
          <w:tcPr>
            <w:tcW w:w="2008" w:type="dxa"/>
            <w:vAlign w:val="center"/>
          </w:tcPr>
          <w:p w:rsidR="00415792" w:rsidRPr="0039286E" w:rsidRDefault="00415792" w:rsidP="00EC4138">
            <w:pPr>
              <w:snapToGrid w:val="0"/>
              <w:spacing w:line="300" w:lineRule="exact"/>
              <w:jc w:val="distribute"/>
              <w:rPr>
                <w:rFonts w:eastAsia="標楷體"/>
              </w:rPr>
            </w:pPr>
            <w:r w:rsidRPr="0039286E">
              <w:rPr>
                <w:rFonts w:eastAsia="標楷體" w:hAnsi="標楷體" w:hint="eastAsia"/>
              </w:rPr>
              <w:t>產品</w:t>
            </w:r>
          </w:p>
          <w:p w:rsidR="00415792" w:rsidRPr="0039286E" w:rsidRDefault="00415792" w:rsidP="00EC4138">
            <w:pPr>
              <w:snapToGrid w:val="0"/>
              <w:spacing w:line="300" w:lineRule="exact"/>
              <w:jc w:val="distribute"/>
              <w:rPr>
                <w:rFonts w:eastAsia="標楷體"/>
              </w:rPr>
            </w:pPr>
            <w:r w:rsidRPr="0039286E">
              <w:rPr>
                <w:rFonts w:eastAsia="標楷體" w:hAnsi="標楷體" w:hint="eastAsia"/>
              </w:rPr>
              <w:t>名稱</w:t>
            </w:r>
          </w:p>
        </w:tc>
        <w:tc>
          <w:tcPr>
            <w:tcW w:w="3240" w:type="dxa"/>
            <w:vAlign w:val="center"/>
          </w:tcPr>
          <w:p w:rsidR="00415792" w:rsidRPr="0039286E" w:rsidRDefault="00415792" w:rsidP="00EC4138">
            <w:pPr>
              <w:pStyle w:val="a"/>
              <w:spacing w:line="300" w:lineRule="exact"/>
              <w:rPr>
                <w:szCs w:val="24"/>
              </w:rPr>
            </w:pPr>
            <w:r w:rsidRPr="0039286E">
              <w:rPr>
                <w:rFonts w:hAnsi="標楷體" w:hint="eastAsia"/>
                <w:szCs w:val="24"/>
              </w:rPr>
              <w:t>產品圖示</w:t>
            </w:r>
          </w:p>
          <w:p w:rsidR="00415792" w:rsidRPr="0039286E" w:rsidRDefault="00415792" w:rsidP="00EC4138">
            <w:pPr>
              <w:pStyle w:val="a"/>
              <w:spacing w:line="300" w:lineRule="exact"/>
              <w:rPr>
                <w:szCs w:val="24"/>
              </w:rPr>
            </w:pPr>
            <w:r w:rsidRPr="0039286E">
              <w:rPr>
                <w:rFonts w:hAnsi="標楷體" w:hint="eastAsia"/>
                <w:szCs w:val="24"/>
              </w:rPr>
              <w:t>及介紹</w:t>
            </w:r>
          </w:p>
        </w:tc>
        <w:tc>
          <w:tcPr>
            <w:tcW w:w="1260" w:type="dxa"/>
            <w:vAlign w:val="center"/>
          </w:tcPr>
          <w:p w:rsidR="00415792" w:rsidRPr="0039286E" w:rsidRDefault="00415792" w:rsidP="00EC4138">
            <w:pPr>
              <w:pStyle w:val="a"/>
              <w:spacing w:line="300" w:lineRule="exact"/>
              <w:rPr>
                <w:szCs w:val="24"/>
              </w:rPr>
            </w:pPr>
            <w:r w:rsidRPr="0039286E">
              <w:rPr>
                <w:rFonts w:hAnsi="標楷體" w:hint="eastAsia"/>
                <w:szCs w:val="24"/>
              </w:rPr>
              <w:t>重要用途或功能</w:t>
            </w:r>
          </w:p>
        </w:tc>
        <w:tc>
          <w:tcPr>
            <w:tcW w:w="1980" w:type="dxa"/>
          </w:tcPr>
          <w:p w:rsidR="00415792" w:rsidRPr="0039286E" w:rsidRDefault="00415792" w:rsidP="00EC4138">
            <w:pPr>
              <w:jc w:val="center"/>
              <w:rPr>
                <w:rFonts w:eastAsia="標楷體"/>
              </w:rPr>
            </w:pPr>
            <w:r w:rsidRPr="0039286E">
              <w:rPr>
                <w:rFonts w:eastAsia="標楷體" w:hAnsi="標楷體" w:hint="eastAsia"/>
              </w:rPr>
              <w:t>最近一年度</w:t>
            </w:r>
          </w:p>
          <w:p w:rsidR="00415792" w:rsidRPr="0039286E" w:rsidRDefault="00415792" w:rsidP="00EC4138">
            <w:pPr>
              <w:jc w:val="center"/>
              <w:rPr>
                <w:rFonts w:eastAsia="標楷體"/>
              </w:rPr>
            </w:pPr>
            <w:r w:rsidRPr="0039286E">
              <w:rPr>
                <w:rFonts w:eastAsia="標楷體" w:hAnsi="標楷體" w:hint="eastAsia"/>
              </w:rPr>
              <w:t>營收金額</w:t>
            </w:r>
            <w:r w:rsidRPr="0039286E">
              <w:rPr>
                <w:rFonts w:eastAsia="標楷體"/>
              </w:rPr>
              <w:t>(</w:t>
            </w:r>
            <w:r w:rsidRPr="0039286E">
              <w:rPr>
                <w:rFonts w:eastAsia="標楷體" w:hAnsi="標楷體" w:hint="eastAsia"/>
              </w:rPr>
              <w:t>仟元</w:t>
            </w:r>
            <w:r w:rsidRPr="0039286E">
              <w:rPr>
                <w:rFonts w:eastAsia="標楷體"/>
              </w:rPr>
              <w:t>)</w:t>
            </w:r>
          </w:p>
        </w:tc>
        <w:tc>
          <w:tcPr>
            <w:tcW w:w="1283" w:type="dxa"/>
          </w:tcPr>
          <w:p w:rsidR="00415792" w:rsidRPr="0039286E" w:rsidRDefault="00415792" w:rsidP="00EC4138">
            <w:pPr>
              <w:jc w:val="center"/>
              <w:rPr>
                <w:rFonts w:eastAsia="標楷體"/>
              </w:rPr>
            </w:pPr>
            <w:r w:rsidRPr="0039286E">
              <w:rPr>
                <w:rFonts w:eastAsia="標楷體" w:hAnsi="標楷體" w:hint="eastAsia"/>
              </w:rPr>
              <w:t>佔總營收</w:t>
            </w:r>
          </w:p>
          <w:p w:rsidR="00415792" w:rsidRPr="0039286E" w:rsidRDefault="00415792" w:rsidP="00EC4138">
            <w:pPr>
              <w:jc w:val="center"/>
              <w:rPr>
                <w:rFonts w:eastAsia="標楷體"/>
              </w:rPr>
            </w:pPr>
            <w:r w:rsidRPr="0039286E">
              <w:rPr>
                <w:rFonts w:eastAsia="標楷體" w:hAnsi="標楷體" w:hint="eastAsia"/>
              </w:rPr>
              <w:t>比重</w:t>
            </w:r>
            <w:r w:rsidRPr="0039286E">
              <w:rPr>
                <w:rFonts w:eastAsia="標楷體"/>
              </w:rPr>
              <w:t>(%)</w:t>
            </w:r>
          </w:p>
        </w:tc>
      </w:tr>
      <w:tr w:rsidR="00415792" w:rsidRPr="00EC4138" w:rsidTr="00EC4138">
        <w:trPr>
          <w:cantSplit/>
          <w:trHeight w:val="405"/>
        </w:trPr>
        <w:tc>
          <w:tcPr>
            <w:tcW w:w="2008" w:type="dxa"/>
            <w:vAlign w:val="center"/>
          </w:tcPr>
          <w:p w:rsidR="00415792" w:rsidRPr="00EC4138" w:rsidRDefault="00415792" w:rsidP="00EC4138">
            <w:pPr>
              <w:jc w:val="both"/>
              <w:rPr>
                <w:rFonts w:eastAsia="標楷體"/>
              </w:rPr>
            </w:pPr>
            <w:r w:rsidRPr="00EC4138">
              <w:rPr>
                <w:rFonts w:eastAsia="標楷體" w:hint="eastAsia"/>
              </w:rPr>
              <w:t>水處理工程承攬</w:t>
            </w:r>
          </w:p>
        </w:tc>
        <w:tc>
          <w:tcPr>
            <w:tcW w:w="3240" w:type="dxa"/>
            <w:vAlign w:val="center"/>
          </w:tcPr>
          <w:p w:rsidR="00415792" w:rsidRPr="00EC4138" w:rsidRDefault="00415792" w:rsidP="00AF1E34">
            <w:pPr>
              <w:jc w:val="both"/>
              <w:rPr>
                <w:b/>
                <w:bCs/>
              </w:rPr>
            </w:pPr>
            <w:r w:rsidRPr="00EC4138">
              <w:rPr>
                <w:rFonts w:eastAsia="標楷體" w:hint="eastAsia"/>
              </w:rPr>
              <w:t>都市污水下水道系統及工業廢水處理廠之建設工程</w:t>
            </w:r>
          </w:p>
        </w:tc>
        <w:tc>
          <w:tcPr>
            <w:tcW w:w="1260" w:type="dxa"/>
            <w:vAlign w:val="center"/>
          </w:tcPr>
          <w:p w:rsidR="00415792" w:rsidRPr="00EC4138" w:rsidRDefault="00415792" w:rsidP="00EC4138">
            <w:pPr>
              <w:jc w:val="center"/>
              <w:rPr>
                <w:rFonts w:eastAsia="標楷體"/>
              </w:rPr>
            </w:pPr>
            <w:r w:rsidRPr="00EC4138">
              <w:rPr>
                <w:rFonts w:eastAsia="標楷體" w:hint="eastAsia"/>
              </w:rPr>
              <w:t>不適用</w:t>
            </w:r>
          </w:p>
        </w:tc>
        <w:tc>
          <w:tcPr>
            <w:tcW w:w="1980" w:type="dxa"/>
            <w:vAlign w:val="center"/>
          </w:tcPr>
          <w:p w:rsidR="00415792" w:rsidRPr="00EC4138" w:rsidRDefault="00415792" w:rsidP="00EC4138">
            <w:pPr>
              <w:widowControl/>
              <w:jc w:val="right"/>
              <w:rPr>
                <w:rFonts w:eastAsia="標楷體"/>
                <w:kern w:val="0"/>
              </w:rPr>
            </w:pPr>
            <w:r w:rsidRPr="00EC4138">
              <w:rPr>
                <w:rFonts w:eastAsia="標楷體"/>
                <w:kern w:val="0"/>
              </w:rPr>
              <w:t xml:space="preserve">384,764 </w:t>
            </w:r>
          </w:p>
        </w:tc>
        <w:tc>
          <w:tcPr>
            <w:tcW w:w="1283" w:type="dxa"/>
            <w:vAlign w:val="center"/>
          </w:tcPr>
          <w:p w:rsidR="00415792" w:rsidRPr="00EC4138" w:rsidRDefault="00415792" w:rsidP="00EC4138">
            <w:pPr>
              <w:widowControl/>
              <w:jc w:val="right"/>
              <w:rPr>
                <w:rFonts w:eastAsia="標楷體"/>
                <w:kern w:val="0"/>
              </w:rPr>
            </w:pPr>
            <w:r w:rsidRPr="00EC4138">
              <w:rPr>
                <w:rFonts w:eastAsia="標楷體"/>
                <w:kern w:val="0"/>
              </w:rPr>
              <w:t>30.98</w:t>
            </w:r>
          </w:p>
        </w:tc>
      </w:tr>
      <w:tr w:rsidR="00415792" w:rsidRPr="00EC4138" w:rsidTr="00EC4138">
        <w:trPr>
          <w:cantSplit/>
          <w:trHeight w:val="285"/>
        </w:trPr>
        <w:tc>
          <w:tcPr>
            <w:tcW w:w="2008" w:type="dxa"/>
            <w:vAlign w:val="center"/>
          </w:tcPr>
          <w:p w:rsidR="00415792" w:rsidRPr="00EC4138" w:rsidRDefault="00415792" w:rsidP="00EC4138">
            <w:pPr>
              <w:jc w:val="both"/>
              <w:rPr>
                <w:rFonts w:eastAsia="標楷體"/>
              </w:rPr>
            </w:pPr>
            <w:r w:rsidRPr="00EC4138">
              <w:rPr>
                <w:rFonts w:eastAsia="標楷體" w:hint="eastAsia"/>
              </w:rPr>
              <w:t>水處理操作維護</w:t>
            </w:r>
          </w:p>
        </w:tc>
        <w:tc>
          <w:tcPr>
            <w:tcW w:w="3240" w:type="dxa"/>
            <w:vAlign w:val="center"/>
          </w:tcPr>
          <w:p w:rsidR="00415792" w:rsidRPr="00EC4138" w:rsidRDefault="00415792" w:rsidP="00EC4138">
            <w:pPr>
              <w:jc w:val="both"/>
              <w:rPr>
                <w:b/>
                <w:bCs/>
              </w:rPr>
            </w:pPr>
            <w:r w:rsidRPr="00EC4138">
              <w:rPr>
                <w:rFonts w:eastAsia="標楷體" w:hint="eastAsia"/>
              </w:rPr>
              <w:t>都市污水下水道系統、工業廢水處理廠之操作維護</w:t>
            </w:r>
          </w:p>
        </w:tc>
        <w:tc>
          <w:tcPr>
            <w:tcW w:w="1260" w:type="dxa"/>
            <w:vAlign w:val="center"/>
          </w:tcPr>
          <w:p w:rsidR="00415792" w:rsidRPr="00EC4138" w:rsidRDefault="00415792" w:rsidP="00EC4138">
            <w:pPr>
              <w:jc w:val="center"/>
              <w:rPr>
                <w:rFonts w:eastAsia="標楷體"/>
              </w:rPr>
            </w:pPr>
            <w:r w:rsidRPr="00EC4138">
              <w:rPr>
                <w:rFonts w:eastAsia="標楷體" w:hint="eastAsia"/>
              </w:rPr>
              <w:t>不適用</w:t>
            </w:r>
          </w:p>
        </w:tc>
        <w:tc>
          <w:tcPr>
            <w:tcW w:w="1980" w:type="dxa"/>
            <w:vAlign w:val="center"/>
          </w:tcPr>
          <w:p w:rsidR="00415792" w:rsidRPr="00EC4138" w:rsidRDefault="00415792" w:rsidP="00EC4138">
            <w:pPr>
              <w:widowControl/>
              <w:jc w:val="right"/>
              <w:rPr>
                <w:rFonts w:eastAsia="標楷體"/>
                <w:kern w:val="0"/>
              </w:rPr>
            </w:pPr>
            <w:r w:rsidRPr="00EC4138">
              <w:rPr>
                <w:rFonts w:eastAsia="標楷體"/>
                <w:kern w:val="0"/>
              </w:rPr>
              <w:t xml:space="preserve">246,582 </w:t>
            </w:r>
          </w:p>
        </w:tc>
        <w:tc>
          <w:tcPr>
            <w:tcW w:w="1283" w:type="dxa"/>
            <w:vAlign w:val="center"/>
          </w:tcPr>
          <w:p w:rsidR="00415792" w:rsidRPr="00EC4138" w:rsidRDefault="00415792" w:rsidP="00EC4138">
            <w:pPr>
              <w:widowControl/>
              <w:jc w:val="right"/>
              <w:rPr>
                <w:rFonts w:eastAsia="標楷體"/>
                <w:kern w:val="0"/>
              </w:rPr>
            </w:pPr>
            <w:r w:rsidRPr="00EC4138">
              <w:rPr>
                <w:rFonts w:eastAsia="標楷體"/>
                <w:kern w:val="0"/>
              </w:rPr>
              <w:t>19.86</w:t>
            </w:r>
          </w:p>
        </w:tc>
      </w:tr>
      <w:tr w:rsidR="00415792" w:rsidRPr="00EC4138" w:rsidTr="00EC4138">
        <w:trPr>
          <w:cantSplit/>
          <w:trHeight w:val="405"/>
        </w:trPr>
        <w:tc>
          <w:tcPr>
            <w:tcW w:w="2008" w:type="dxa"/>
            <w:vAlign w:val="center"/>
          </w:tcPr>
          <w:p w:rsidR="00415792" w:rsidRPr="00EC4138" w:rsidRDefault="00415792" w:rsidP="00EC4138">
            <w:pPr>
              <w:jc w:val="both"/>
              <w:rPr>
                <w:rFonts w:eastAsia="標楷體"/>
              </w:rPr>
            </w:pPr>
            <w:r w:rsidRPr="00EC4138">
              <w:rPr>
                <w:rFonts w:eastAsia="標楷體" w:hint="eastAsia"/>
              </w:rPr>
              <w:t>服務特許權</w:t>
            </w:r>
          </w:p>
        </w:tc>
        <w:tc>
          <w:tcPr>
            <w:tcW w:w="3240" w:type="dxa"/>
            <w:vAlign w:val="center"/>
          </w:tcPr>
          <w:p w:rsidR="00415792" w:rsidRPr="00EC4138" w:rsidRDefault="00415792" w:rsidP="00EC4138">
            <w:pPr>
              <w:jc w:val="both"/>
              <w:rPr>
                <w:b/>
                <w:bCs/>
              </w:rPr>
            </w:pPr>
            <w:r w:rsidRPr="00EC4138">
              <w:rPr>
                <w:rFonts w:eastAsia="標楷體" w:hint="eastAsia"/>
              </w:rPr>
              <w:t>依</w:t>
            </w:r>
            <w:r>
              <w:rPr>
                <w:rFonts w:eastAsia="標楷體"/>
              </w:rPr>
              <w:t>BOT</w:t>
            </w:r>
            <w:r>
              <w:rPr>
                <w:rFonts w:eastAsia="標楷體" w:hint="eastAsia"/>
              </w:rPr>
              <w:t>合約中服務特許權協議所</w:t>
            </w:r>
            <w:r w:rsidRPr="00EC4138">
              <w:rPr>
                <w:rFonts w:eastAsia="標楷體" w:hint="eastAsia"/>
              </w:rPr>
              <w:t>產生</w:t>
            </w:r>
            <w:r>
              <w:rPr>
                <w:rFonts w:eastAsia="標楷體" w:hint="eastAsia"/>
              </w:rPr>
              <w:t>之</w:t>
            </w:r>
            <w:r w:rsidRPr="00EC4138">
              <w:rPr>
                <w:rFonts w:eastAsia="標楷體" w:hint="eastAsia"/>
              </w:rPr>
              <w:t>收入</w:t>
            </w:r>
          </w:p>
        </w:tc>
        <w:tc>
          <w:tcPr>
            <w:tcW w:w="1260" w:type="dxa"/>
            <w:vAlign w:val="center"/>
          </w:tcPr>
          <w:p w:rsidR="00415792" w:rsidRPr="00EC4138" w:rsidRDefault="00415792" w:rsidP="00EC4138">
            <w:pPr>
              <w:jc w:val="center"/>
              <w:rPr>
                <w:rFonts w:eastAsia="標楷體"/>
              </w:rPr>
            </w:pPr>
            <w:r w:rsidRPr="00EC4138">
              <w:rPr>
                <w:rFonts w:eastAsia="標楷體" w:hint="eastAsia"/>
              </w:rPr>
              <w:t>不適用</w:t>
            </w:r>
          </w:p>
        </w:tc>
        <w:tc>
          <w:tcPr>
            <w:tcW w:w="1980" w:type="dxa"/>
            <w:vAlign w:val="center"/>
          </w:tcPr>
          <w:p w:rsidR="00415792" w:rsidRPr="00EC4138" w:rsidRDefault="00415792" w:rsidP="00EC4138">
            <w:pPr>
              <w:widowControl/>
              <w:jc w:val="right"/>
              <w:rPr>
                <w:rFonts w:eastAsia="標楷體"/>
                <w:kern w:val="0"/>
              </w:rPr>
            </w:pPr>
            <w:r w:rsidRPr="00EC4138">
              <w:rPr>
                <w:rFonts w:eastAsia="標楷體"/>
                <w:kern w:val="0"/>
              </w:rPr>
              <w:t xml:space="preserve">610,430 </w:t>
            </w:r>
          </w:p>
        </w:tc>
        <w:tc>
          <w:tcPr>
            <w:tcW w:w="1283" w:type="dxa"/>
            <w:vAlign w:val="center"/>
          </w:tcPr>
          <w:p w:rsidR="00415792" w:rsidRPr="00EC4138" w:rsidRDefault="00415792" w:rsidP="00EC4138">
            <w:pPr>
              <w:widowControl/>
              <w:jc w:val="right"/>
              <w:rPr>
                <w:rFonts w:eastAsia="標楷體"/>
                <w:kern w:val="0"/>
              </w:rPr>
            </w:pPr>
            <w:r w:rsidRPr="00EC4138">
              <w:rPr>
                <w:rFonts w:eastAsia="標楷體"/>
                <w:kern w:val="0"/>
              </w:rPr>
              <w:t>49.16</w:t>
            </w:r>
          </w:p>
        </w:tc>
      </w:tr>
      <w:tr w:rsidR="00415792" w:rsidRPr="00EC4138" w:rsidTr="00EC4138">
        <w:trPr>
          <w:cantSplit/>
          <w:trHeight w:val="405"/>
        </w:trPr>
        <w:tc>
          <w:tcPr>
            <w:tcW w:w="6508" w:type="dxa"/>
            <w:gridSpan w:val="3"/>
            <w:vAlign w:val="center"/>
          </w:tcPr>
          <w:p w:rsidR="00415792" w:rsidRPr="00EC4138" w:rsidRDefault="00415792" w:rsidP="00415792">
            <w:pPr>
              <w:pStyle w:val="A1"/>
              <w:tabs>
                <w:tab w:val="left" w:pos="676"/>
              </w:tabs>
              <w:autoSpaceDE w:val="0"/>
              <w:autoSpaceDN w:val="0"/>
              <w:adjustRightInd w:val="0"/>
              <w:spacing w:before="180" w:after="180" w:line="350" w:lineRule="exact"/>
              <w:ind w:left="1053" w:rightChars="137" w:right="31680" w:hanging="1053"/>
              <w:rPr>
                <w:b/>
                <w:bCs/>
                <w:sz w:val="24"/>
                <w:szCs w:val="24"/>
              </w:rPr>
            </w:pPr>
            <w:r w:rsidRPr="00EC4138">
              <w:rPr>
                <w:rFonts w:hAnsi="標楷體" w:hint="eastAsia"/>
                <w:sz w:val="24"/>
                <w:szCs w:val="24"/>
              </w:rPr>
              <w:t>合</w:t>
            </w:r>
            <w:r w:rsidRPr="00EC4138">
              <w:rPr>
                <w:sz w:val="24"/>
                <w:szCs w:val="24"/>
              </w:rPr>
              <w:t xml:space="preserve">     </w:t>
            </w:r>
            <w:r w:rsidRPr="00EC4138">
              <w:rPr>
                <w:rFonts w:hAnsi="標楷體" w:hint="eastAsia"/>
                <w:sz w:val="24"/>
                <w:szCs w:val="24"/>
              </w:rPr>
              <w:t>計</w:t>
            </w:r>
          </w:p>
        </w:tc>
        <w:tc>
          <w:tcPr>
            <w:tcW w:w="1980" w:type="dxa"/>
            <w:vAlign w:val="center"/>
          </w:tcPr>
          <w:p w:rsidR="00415792" w:rsidRPr="00EC4138" w:rsidRDefault="00415792" w:rsidP="00EC4138">
            <w:pPr>
              <w:widowControl/>
              <w:jc w:val="right"/>
              <w:rPr>
                <w:rFonts w:eastAsia="標楷體"/>
                <w:kern w:val="0"/>
              </w:rPr>
            </w:pPr>
            <w:r w:rsidRPr="00EC4138">
              <w:rPr>
                <w:rFonts w:eastAsia="標楷體"/>
                <w:kern w:val="0"/>
              </w:rPr>
              <w:t xml:space="preserve">1,241,776 </w:t>
            </w:r>
          </w:p>
        </w:tc>
        <w:tc>
          <w:tcPr>
            <w:tcW w:w="1283" w:type="dxa"/>
            <w:vAlign w:val="center"/>
          </w:tcPr>
          <w:p w:rsidR="00415792" w:rsidRPr="00EC4138" w:rsidRDefault="00415792" w:rsidP="00EC4138">
            <w:pPr>
              <w:widowControl/>
              <w:jc w:val="right"/>
              <w:rPr>
                <w:rFonts w:eastAsia="標楷體"/>
                <w:kern w:val="0"/>
              </w:rPr>
            </w:pPr>
            <w:r w:rsidRPr="00EC4138">
              <w:rPr>
                <w:rFonts w:eastAsia="標楷體"/>
                <w:kern w:val="0"/>
              </w:rPr>
              <w:t>100</w:t>
            </w:r>
          </w:p>
        </w:tc>
      </w:tr>
    </w:tbl>
    <w:p w:rsidR="00415792" w:rsidRDefault="00415792" w:rsidP="00E57429">
      <w:pPr>
        <w:jc w:val="both"/>
      </w:pPr>
      <w:r w:rsidRPr="008E2DD7">
        <w:rPr>
          <w:rFonts w:eastAsia="標楷體"/>
        </w:rPr>
        <w:t xml:space="preserve">                                                                          </w:t>
      </w:r>
      <w:hyperlink w:anchor="第一頁" w:history="1">
        <w:r w:rsidRPr="00CA0603">
          <w:rPr>
            <w:rFonts w:eastAsia="標楷體"/>
            <w:noProof/>
          </w:rPr>
          <w:pict>
            <v:shape id="圖片 7" o:spid="_x0000_i1030" type="#_x0000_t75" alt="icon_top" href="#2A" style="width:32.25pt;height:12pt;visibility:visible" o:button="t">
              <v:fill o:detectmouseclick="t"/>
              <v:imagedata r:id="rId9" o:title=""/>
            </v:shape>
          </w:pict>
        </w:r>
      </w:hyperlink>
    </w:p>
    <w:p w:rsidR="00415792" w:rsidRDefault="00415792" w:rsidP="00E57429">
      <w:pPr>
        <w:jc w:val="both"/>
      </w:pPr>
    </w:p>
    <w:p w:rsidR="00415792" w:rsidRDefault="00415792" w:rsidP="00E57429">
      <w:pPr>
        <w:jc w:val="both"/>
      </w:pPr>
    </w:p>
    <w:p w:rsidR="00415792" w:rsidRPr="008E2DD7" w:rsidRDefault="00415792" w:rsidP="00E57429">
      <w:pPr>
        <w:jc w:val="both"/>
        <w:rPr>
          <w:rFonts w:eastAsia="標楷體"/>
        </w:rPr>
      </w:pPr>
      <w:r>
        <w:br w:type="page"/>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61"/>
        <w:gridCol w:w="1262"/>
        <w:gridCol w:w="1261"/>
        <w:gridCol w:w="1262"/>
        <w:gridCol w:w="1261"/>
        <w:gridCol w:w="1262"/>
      </w:tblGrid>
      <w:tr w:rsidR="00415792" w:rsidRPr="008E2DD7" w:rsidTr="008E2DD7">
        <w:trPr>
          <w:trHeight w:hRule="exact" w:val="1092"/>
          <w:jc w:val="center"/>
        </w:trPr>
        <w:tc>
          <w:tcPr>
            <w:tcW w:w="9667" w:type="dxa"/>
            <w:gridSpan w:val="8"/>
            <w:tcBorders>
              <w:top w:val="single" w:sz="6" w:space="0" w:color="auto"/>
              <w:left w:val="single" w:sz="12" w:space="0" w:color="auto"/>
              <w:bottom w:val="single" w:sz="6" w:space="0" w:color="auto"/>
              <w:right w:val="single" w:sz="12" w:space="0" w:color="auto"/>
            </w:tcBorders>
            <w:vAlign w:val="center"/>
          </w:tcPr>
          <w:p w:rsidR="00415792" w:rsidRPr="008E2DD7" w:rsidRDefault="00415792" w:rsidP="00415792">
            <w:pPr>
              <w:ind w:firstLineChars="500" w:firstLine="31680"/>
              <w:rPr>
                <w:rFonts w:eastAsia="標楷體"/>
                <w:b/>
                <w:bCs/>
                <w:sz w:val="28"/>
              </w:rPr>
            </w:pPr>
            <w:r>
              <w:rPr>
                <w:noProof/>
              </w:rPr>
              <w:pict>
                <v:shape id="Text Box 94" o:spid="_x0000_s1036" type="#_x0000_t202" style="position:absolute;left:0;text-align:left;margin-left:.4pt;margin-top:-.3pt;width:481.5pt;height:53.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FvzQIAANUFAAAOAAAAZHJzL2Uyb0RvYy54bWysVFtv2yAUfp+0/4B4T21Hdhpbcaq2aaZJ&#10;3UVqpz0TjG00DB6QON20/74DOJm39mGa5kgEOBfO953L6urYCXRg2nAlS5xcxBgxSVXFZVPiT4/b&#10;2RIjY4msiFCSlfiJGXy1fv1qNfQFm6tWiYppBE6kKYa+xK21fRFFhrasI+ZC9UyCsFa6IxaOuokq&#10;TQbw3oloHseLaFC66rWizBi43QQhXnv/dc2o/VDXhlkkSgyxWb9qv+7cGq1XpGg06VtOxzDIP0TR&#10;ES7h0bOrDbEE7TV/5qrjVCujantBVRepuuaUeQyAJon/QPPQkp55LECO6c80mf/nlr4/fNSIV5C7&#10;HCNJOsjRIztadKOOKE8dP0NvClB76EHRHuEedD1W098r+sUgqW5bIht2rbUaWkYqiC9xltHENPgx&#10;zslueKcqeIfsrfKOjrXuHHlABwLvkKenc25cLBQuF0mSxRmIKMgWyyxZZP4JUpyse23sG6Y65DYl&#10;1pB7750c7o110ZDipDJmqtpyIZBW9jO3rSf7BK0xYOO1DOoV4IkDYt3sboVGBwLldLdxvzGIxky1&#10;sxi+5xZb/71okTiLF0yePQIozsEJLhEQX+IsDebIUCKYS+bpEU08SBeckG6VyoEOdIQbYHgE67j2&#10;Rfs9T+ZpfDPPZ9vF8nKWbtNsll/Gy1mc5Df5Ik7zdLP94QAmadHyqmLynkt2aqAk/bsCHVs5lL5v&#10;ITSUOM/mWeBOCX6O3kyp92h98wIdZqrWcQvzRPCuxMvACUAlhavKO1n5vSVchH30e/i+RICD079n&#10;xdewK9tQwPa4O/p2ObfGTlVPUNRQRb5yYRbCplX6G0YDzJUSm697ohlG4q2EQsqTNHWDyB/S7HIO&#10;Bz2V7KYSIim4KrHFkGi3vbVheO17zZsWXgqtKNU1NFPNfZ27rgtRjS0Is8NjGuecG07Ts9f6NY3X&#10;PwEAAP//AwBQSwMEFAAGAAgAAAAhAL0Xl9ncAAAABgEAAA8AAABkcnMvZG93bnJldi54bWxMjkFL&#10;w0AQhe+C/2EZwVu70UJaYzalKFW0ItgWvE6zYxLMzsbsNo3/3vGkx8d7fO/Ll6Nr1UB9aDwbuJom&#10;oIhLbxuuDOx368kCVIjIFlvPZOCbAiyL87McM+tP/EbDNlZKIBwyNFDH2GVah7Imh2HqO2LpPnzv&#10;MErsK217PAnctfo6SVLtsGF5qLGju5rKz+3RGRieHl8362ei1T2/v+z2rpx/PSyMubwYV7egIo3x&#10;bwy/+qIOhTgd/JFtUK0B8Y4GJikoKW/SmeSDrJL5DHSR6//6xQ8AAAD//wMAUEsBAi0AFAAGAAgA&#10;AAAhALaDOJL+AAAA4QEAABMAAAAAAAAAAAAAAAAAAAAAAFtDb250ZW50X1R5cGVzXS54bWxQSwEC&#10;LQAUAAYACAAAACEAOP0h/9YAAACUAQAACwAAAAAAAAAAAAAAAAAvAQAAX3JlbHMvLnJlbHNQSwEC&#10;LQAUAAYACAAAACEA62Ixb80CAADVBQAADgAAAAAAAAAAAAAAAAAuAgAAZHJzL2Uyb0RvYy54bWxQ&#10;SwECLQAUAAYACAAAACEAvReX2dwAAAAGAQAADwAAAAAAAAAAAAAAAAAnBQAAZHJzL2Rvd25yZXYu&#10;eG1sUEsFBgAAAAAEAAQA8wAAADAGAAAAAA==&#10;" fillcolor="#ededed" stroked="f">
                  <v:fill rotate="t" focus="50%" type="gradient"/>
                  <v:textbox>
                    <w:txbxContent>
                      <w:p w:rsidR="00415792" w:rsidRDefault="00415792" w:rsidP="00E57429">
                        <w:bookmarkStart w:id="2" w:name="最近五年度簡明損益表及申請年度截至最近月份止之自結損益表"/>
                        <w:bookmarkEnd w:id="2"/>
                      </w:p>
                    </w:txbxContent>
                  </v:textbox>
                </v:shape>
              </w:pict>
            </w:r>
            <w:r w:rsidRPr="008E2DD7">
              <w:rPr>
                <w:rFonts w:eastAsia="標楷體" w:hint="eastAsia"/>
                <w:b/>
                <w:bCs/>
                <w:sz w:val="28"/>
              </w:rPr>
              <w:t>最近五年度簡明損益表及申請年度截至最近月份止之</w:t>
            </w:r>
            <w:r w:rsidRPr="008E2DD7">
              <w:rPr>
                <w:rFonts w:eastAsia="標楷體" w:hint="eastAsia"/>
                <w:b/>
                <w:bCs/>
                <w:sz w:val="28"/>
                <w:u w:val="single"/>
              </w:rPr>
              <w:t>自結</w:t>
            </w:r>
            <w:r w:rsidRPr="008E2DD7">
              <w:rPr>
                <w:rFonts w:eastAsia="標楷體" w:hint="eastAsia"/>
                <w:b/>
                <w:bCs/>
                <w:sz w:val="28"/>
              </w:rPr>
              <w:t>損益表</w:t>
            </w:r>
            <w:r w:rsidRPr="008E2DD7">
              <w:rPr>
                <w:rFonts w:eastAsia="標楷體"/>
                <w:b/>
                <w:bCs/>
                <w:sz w:val="28"/>
              </w:rPr>
              <w:t xml:space="preserve">  </w:t>
            </w:r>
          </w:p>
          <w:p w:rsidR="00415792" w:rsidRPr="008E2DD7" w:rsidRDefault="00415792" w:rsidP="00596C93">
            <w:pPr>
              <w:jc w:val="right"/>
              <w:rPr>
                <w:rFonts w:eastAsia="標楷體"/>
              </w:rPr>
            </w:pPr>
            <w:r w:rsidRPr="008E2DD7">
              <w:rPr>
                <w:rFonts w:eastAsia="標楷體" w:hint="eastAsia"/>
              </w:rPr>
              <w:t>單位：新台幣千元</w:t>
            </w:r>
            <w:r w:rsidRPr="008E2DD7">
              <w:rPr>
                <w:rFonts w:eastAsia="標楷體"/>
              </w:rPr>
              <w:t xml:space="preserve">                      </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15792" w:rsidRPr="008E2DD7" w:rsidRDefault="00415792" w:rsidP="00596C93">
            <w:pPr>
              <w:ind w:left="57" w:right="57"/>
              <w:jc w:val="right"/>
              <w:rPr>
                <w:rFonts w:eastAsia="標楷體"/>
              </w:rPr>
            </w:pPr>
            <w:r w:rsidRPr="008E2DD7">
              <w:rPr>
                <w:rFonts w:eastAsia="標楷體" w:hint="eastAsia"/>
              </w:rPr>
              <w:t>年度</w:t>
            </w:r>
          </w:p>
          <w:p w:rsidR="00415792" w:rsidRPr="008E2DD7" w:rsidRDefault="00415792" w:rsidP="00596C93">
            <w:pPr>
              <w:rPr>
                <w:rFonts w:eastAsia="標楷體"/>
              </w:rPr>
            </w:pPr>
          </w:p>
          <w:p w:rsidR="00415792" w:rsidRPr="008E2DD7" w:rsidRDefault="00415792" w:rsidP="00596C93">
            <w:pPr>
              <w:rPr>
                <w:rFonts w:eastAsia="標楷體"/>
              </w:rPr>
            </w:pPr>
          </w:p>
          <w:p w:rsidR="00415792" w:rsidRPr="008E2DD7" w:rsidRDefault="00415792" w:rsidP="00596C93">
            <w:pPr>
              <w:rPr>
                <w:rFonts w:eastAsia="標楷體"/>
              </w:rPr>
            </w:pPr>
            <w:r w:rsidRPr="008E2DD7">
              <w:rPr>
                <w:rFonts w:eastAsia="標楷體" w:hint="eastAsia"/>
              </w:rPr>
              <w:t>項目</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333DBB">
            <w:pPr>
              <w:jc w:val="center"/>
              <w:rPr>
                <w:rFonts w:eastAsia="標楷體"/>
              </w:rPr>
            </w:pPr>
            <w:r w:rsidRPr="008E2DD7">
              <w:rPr>
                <w:rFonts w:eastAsia="標楷體"/>
              </w:rPr>
              <w:t>99</w:t>
            </w:r>
            <w:r w:rsidRPr="008E2DD7">
              <w:rPr>
                <w:rFonts w:eastAsia="標楷體" w:hint="eastAsia"/>
              </w:rPr>
              <w:t>年</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333DBB">
            <w:pPr>
              <w:jc w:val="center"/>
              <w:rPr>
                <w:rFonts w:eastAsia="標楷體"/>
              </w:rPr>
            </w:pPr>
            <w:r w:rsidRPr="008E2DD7">
              <w:rPr>
                <w:rFonts w:eastAsia="標楷體"/>
              </w:rPr>
              <w:t>100</w:t>
            </w:r>
            <w:r w:rsidRPr="008E2DD7">
              <w:rPr>
                <w:rFonts w:eastAsia="標楷體" w:hint="eastAsia"/>
              </w:rPr>
              <w:t>年</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333DBB">
            <w:pPr>
              <w:jc w:val="center"/>
              <w:rPr>
                <w:rFonts w:eastAsia="標楷體"/>
              </w:rPr>
            </w:pPr>
            <w:r w:rsidRPr="008E2DD7">
              <w:rPr>
                <w:rFonts w:eastAsia="標楷體"/>
              </w:rPr>
              <w:t>101</w:t>
            </w:r>
            <w:r w:rsidRPr="008E2DD7">
              <w:rPr>
                <w:rFonts w:eastAsia="標楷體" w:hint="eastAsia"/>
              </w:rPr>
              <w:t>年</w:t>
            </w:r>
          </w:p>
          <w:p w:rsidR="00415792" w:rsidRPr="008E2DD7" w:rsidRDefault="00415792" w:rsidP="00333DBB">
            <w:pPr>
              <w:jc w:val="center"/>
              <w:rPr>
                <w:rFonts w:eastAsia="標楷體"/>
              </w:rPr>
            </w:pPr>
            <w:r w:rsidRPr="008E2DD7">
              <w:rPr>
                <w:rFonts w:eastAsia="標楷體"/>
              </w:rPr>
              <w:t>(</w:t>
            </w:r>
            <w:r w:rsidRPr="008E2DD7">
              <w:rPr>
                <w:rFonts w:eastAsia="標楷體" w:hint="eastAsia"/>
              </w:rPr>
              <w:t>重編</w:t>
            </w:r>
            <w:r w:rsidRPr="008E2DD7">
              <w:rPr>
                <w:rFonts w:eastAsia="標楷體"/>
              </w:rPr>
              <w:t>)</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333DBB">
            <w:pPr>
              <w:jc w:val="center"/>
              <w:rPr>
                <w:rFonts w:eastAsia="標楷體"/>
              </w:rPr>
            </w:pPr>
            <w:r w:rsidRPr="008E2DD7">
              <w:rPr>
                <w:rFonts w:eastAsia="標楷體"/>
              </w:rPr>
              <w:t>102</w:t>
            </w:r>
            <w:r w:rsidRPr="008E2DD7">
              <w:rPr>
                <w:rFonts w:eastAsia="標楷體" w:hint="eastAsia"/>
              </w:rPr>
              <w:t>年</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596C93">
            <w:pPr>
              <w:jc w:val="center"/>
              <w:rPr>
                <w:rFonts w:eastAsia="標楷體"/>
                <w:b/>
                <w:u w:val="single"/>
              </w:rPr>
            </w:pPr>
            <w:r w:rsidRPr="008E2DD7">
              <w:rPr>
                <w:rFonts w:eastAsia="標楷體"/>
              </w:rPr>
              <w:t>103</w:t>
            </w:r>
            <w:r w:rsidRPr="008E2DD7">
              <w:rPr>
                <w:rFonts w:eastAsia="標楷體" w:hint="eastAsia"/>
              </w:rPr>
              <w:t>年度</w:t>
            </w:r>
            <w:r w:rsidRPr="008E2DD7">
              <w:rPr>
                <w:rFonts w:eastAsia="標楷體"/>
              </w:rPr>
              <w:br/>
            </w:r>
            <w:r w:rsidRPr="008E2DD7">
              <w:rPr>
                <w:rFonts w:eastAsia="標楷體"/>
                <w:b/>
                <w:u w:val="single"/>
              </w:rPr>
              <w:t>(</w:t>
            </w:r>
            <w:r w:rsidRPr="008E2DD7">
              <w:rPr>
                <w:rFonts w:eastAsia="標楷體" w:hint="eastAsia"/>
                <w:b/>
                <w:u w:val="single"/>
              </w:rPr>
              <w:t>自結數</w:t>
            </w:r>
            <w:r w:rsidRPr="008E2DD7">
              <w:rPr>
                <w:rFonts w:eastAsia="標楷體"/>
                <w:b/>
                <w:u w:val="single"/>
              </w:rPr>
              <w:t>)</w:t>
            </w:r>
          </w:p>
          <w:p w:rsidR="00415792" w:rsidRPr="008E2DD7" w:rsidRDefault="00415792" w:rsidP="00596C93">
            <w:pPr>
              <w:jc w:val="center"/>
              <w:rPr>
                <w:rFonts w:eastAsia="標楷體"/>
              </w:rPr>
            </w:pPr>
            <w:r w:rsidRPr="008E2DD7">
              <w:rPr>
                <w:rFonts w:eastAsia="標楷體"/>
                <w:b/>
              </w:rPr>
              <w:t>(</w:t>
            </w:r>
            <w:r w:rsidRPr="008E2DD7">
              <w:rPr>
                <w:rFonts w:eastAsia="標楷體" w:hint="eastAsia"/>
                <w:b/>
              </w:rPr>
              <w:t>註</w:t>
            </w:r>
            <w:r w:rsidRPr="008E2DD7">
              <w:rPr>
                <w:rFonts w:eastAsia="標楷體"/>
                <w:b/>
              </w:rPr>
              <w:t>1)</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jc w:val="center"/>
              <w:rPr>
                <w:rFonts w:eastAsia="標楷體"/>
              </w:rPr>
            </w:pPr>
            <w:r w:rsidRPr="008E2DD7">
              <w:rPr>
                <w:rFonts w:eastAsia="標楷體"/>
              </w:rPr>
              <w:t xml:space="preserve"> 104</w:t>
            </w:r>
            <w:r w:rsidRPr="008E2DD7">
              <w:rPr>
                <w:rFonts w:eastAsia="標楷體" w:hint="eastAsia"/>
              </w:rPr>
              <w:t>年截</w:t>
            </w:r>
          </w:p>
          <w:p w:rsidR="00415792" w:rsidRPr="008E2DD7" w:rsidRDefault="00415792" w:rsidP="00596C93">
            <w:pPr>
              <w:jc w:val="center"/>
              <w:rPr>
                <w:rFonts w:eastAsia="標楷體"/>
                <w:b/>
                <w:u w:val="single"/>
              </w:rPr>
            </w:pPr>
            <w:r w:rsidRPr="008E2DD7">
              <w:rPr>
                <w:rFonts w:eastAsia="標楷體" w:hint="eastAsia"/>
              </w:rPr>
              <w:t>至</w:t>
            </w:r>
            <w:r w:rsidRPr="008E2DD7">
              <w:rPr>
                <w:rFonts w:eastAsia="標楷體"/>
              </w:rPr>
              <w:t>1</w:t>
            </w:r>
            <w:r w:rsidRPr="008E2DD7">
              <w:rPr>
                <w:rFonts w:eastAsia="標楷體" w:hint="eastAsia"/>
              </w:rPr>
              <w:t>月份止</w:t>
            </w:r>
            <w:r w:rsidRPr="008E2DD7">
              <w:rPr>
                <w:rFonts w:eastAsia="標楷體"/>
              </w:rPr>
              <w:br/>
            </w:r>
            <w:r w:rsidRPr="008E2DD7">
              <w:rPr>
                <w:rFonts w:eastAsia="標楷體"/>
                <w:b/>
                <w:u w:val="single"/>
              </w:rPr>
              <w:t>(</w:t>
            </w:r>
            <w:r w:rsidRPr="008E2DD7">
              <w:rPr>
                <w:rFonts w:eastAsia="標楷體" w:hint="eastAsia"/>
                <w:b/>
                <w:u w:val="single"/>
              </w:rPr>
              <w:t>自結數</w:t>
            </w:r>
            <w:r w:rsidRPr="008E2DD7">
              <w:rPr>
                <w:rFonts w:eastAsia="標楷體"/>
                <w:b/>
                <w:u w:val="single"/>
              </w:rPr>
              <w:t>)</w:t>
            </w:r>
          </w:p>
          <w:p w:rsidR="00415792" w:rsidRPr="008E2DD7" w:rsidRDefault="00415792" w:rsidP="00596C93">
            <w:pPr>
              <w:jc w:val="center"/>
              <w:rPr>
                <w:rFonts w:eastAsia="標楷體"/>
                <w:b/>
                <w:u w:val="single"/>
              </w:rPr>
            </w:pPr>
            <w:r w:rsidRPr="008E2DD7">
              <w:rPr>
                <w:rFonts w:eastAsia="標楷體"/>
                <w:b/>
              </w:rPr>
              <w:t>(</w:t>
            </w:r>
            <w:r w:rsidRPr="008E2DD7">
              <w:rPr>
                <w:rFonts w:eastAsia="標楷體" w:hint="eastAsia"/>
                <w:b/>
              </w:rPr>
              <w:t>註</w:t>
            </w:r>
            <w:r w:rsidRPr="008E2DD7">
              <w:rPr>
                <w:rFonts w:eastAsia="標楷體"/>
                <w:b/>
              </w:rPr>
              <w:t>1)</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營業收入</w:t>
            </w:r>
          </w:p>
        </w:tc>
        <w:tc>
          <w:tcPr>
            <w:tcW w:w="1261" w:type="dxa"/>
            <w:tcBorders>
              <w:top w:val="single" w:sz="6" w:space="0" w:color="auto"/>
              <w:left w:val="single" w:sz="6" w:space="0" w:color="auto"/>
              <w:right w:val="single" w:sz="6" w:space="0" w:color="auto"/>
            </w:tcBorders>
            <w:vAlign w:val="center"/>
          </w:tcPr>
          <w:p w:rsidR="00415792" w:rsidRPr="008E2DD7" w:rsidRDefault="00415792" w:rsidP="00333DBB">
            <w:pPr>
              <w:ind w:right="113"/>
              <w:jc w:val="right"/>
              <w:rPr>
                <w:rFonts w:eastAsia="標楷體"/>
              </w:rPr>
            </w:pPr>
            <w:r w:rsidRPr="008E2DD7">
              <w:rPr>
                <w:rFonts w:eastAsia="標楷體"/>
              </w:rPr>
              <w:t>228,087</w:t>
            </w:r>
          </w:p>
        </w:tc>
        <w:tc>
          <w:tcPr>
            <w:tcW w:w="1262" w:type="dxa"/>
            <w:tcBorders>
              <w:top w:val="single" w:sz="6" w:space="0" w:color="auto"/>
              <w:left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277,532</w:t>
            </w:r>
          </w:p>
        </w:tc>
        <w:tc>
          <w:tcPr>
            <w:tcW w:w="1261" w:type="dxa"/>
            <w:tcBorders>
              <w:top w:val="single" w:sz="6" w:space="0" w:color="auto"/>
              <w:left w:val="single" w:sz="6" w:space="0" w:color="auto"/>
              <w:right w:val="single" w:sz="6" w:space="0" w:color="auto"/>
            </w:tcBorders>
            <w:vAlign w:val="center"/>
          </w:tcPr>
          <w:p w:rsidR="00415792" w:rsidRPr="008E2DD7" w:rsidRDefault="00415792" w:rsidP="00596C93">
            <w:pPr>
              <w:spacing w:line="300" w:lineRule="exact"/>
              <w:jc w:val="right"/>
              <w:rPr>
                <w:rFonts w:eastAsia="標楷體"/>
              </w:rPr>
            </w:pPr>
            <w:r w:rsidRPr="008E2DD7">
              <w:rPr>
                <w:rFonts w:eastAsia="標楷體"/>
              </w:rPr>
              <w:t>799,603</w:t>
            </w:r>
          </w:p>
        </w:tc>
        <w:tc>
          <w:tcPr>
            <w:tcW w:w="1262" w:type="dxa"/>
            <w:tcBorders>
              <w:top w:val="single" w:sz="6" w:space="0" w:color="auto"/>
              <w:left w:val="single" w:sz="6" w:space="0" w:color="auto"/>
              <w:right w:val="single" w:sz="6" w:space="0" w:color="auto"/>
            </w:tcBorders>
            <w:vAlign w:val="center"/>
          </w:tcPr>
          <w:p w:rsidR="00415792" w:rsidRPr="008E2DD7" w:rsidRDefault="00415792" w:rsidP="00596C93">
            <w:pPr>
              <w:spacing w:line="300" w:lineRule="exact"/>
              <w:jc w:val="right"/>
              <w:rPr>
                <w:rFonts w:eastAsia="標楷體"/>
              </w:rPr>
            </w:pPr>
            <w:r w:rsidRPr="008E2DD7">
              <w:rPr>
                <w:rFonts w:eastAsia="標楷體"/>
              </w:rPr>
              <w:t>1,241,776</w:t>
            </w:r>
          </w:p>
        </w:tc>
        <w:tc>
          <w:tcPr>
            <w:tcW w:w="1261" w:type="dxa"/>
            <w:tcBorders>
              <w:top w:val="single" w:sz="6" w:space="0" w:color="auto"/>
              <w:left w:val="single" w:sz="6" w:space="0" w:color="auto"/>
            </w:tcBorders>
            <w:vAlign w:val="center"/>
          </w:tcPr>
          <w:p w:rsidR="00415792" w:rsidRPr="008E2DD7" w:rsidRDefault="00415792" w:rsidP="007345C7">
            <w:pPr>
              <w:spacing w:line="300" w:lineRule="exact"/>
              <w:jc w:val="right"/>
              <w:rPr>
                <w:rFonts w:eastAsia="標楷體"/>
              </w:rPr>
            </w:pPr>
            <w:r w:rsidRPr="008E2DD7">
              <w:rPr>
                <w:rFonts w:eastAsia="標楷體"/>
              </w:rPr>
              <w:t>1,503,387</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138,444</w:t>
            </w:r>
          </w:p>
        </w:tc>
      </w:tr>
      <w:tr w:rsidR="00415792" w:rsidRPr="008E2DD7" w:rsidTr="008E2DD7">
        <w:trPr>
          <w:trHeight w:val="236"/>
          <w:jc w:val="center"/>
        </w:trPr>
        <w:tc>
          <w:tcPr>
            <w:tcW w:w="2098" w:type="dxa"/>
            <w:gridSpan w:val="2"/>
            <w:tcBorders>
              <w:top w:val="single" w:sz="6" w:space="0" w:color="auto"/>
              <w:left w:val="single" w:sz="12" w:space="0" w:color="auto"/>
              <w:bottom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營業毛利</w:t>
            </w:r>
          </w:p>
        </w:tc>
        <w:tc>
          <w:tcPr>
            <w:tcW w:w="1261" w:type="dxa"/>
            <w:vAlign w:val="center"/>
          </w:tcPr>
          <w:p w:rsidR="00415792" w:rsidRPr="008E2DD7" w:rsidRDefault="00415792" w:rsidP="00596C93">
            <w:pPr>
              <w:ind w:right="113"/>
              <w:jc w:val="right"/>
              <w:rPr>
                <w:rFonts w:eastAsia="標楷體"/>
              </w:rPr>
            </w:pPr>
            <w:r w:rsidRPr="008E2DD7">
              <w:rPr>
                <w:rFonts w:eastAsia="標楷體"/>
              </w:rPr>
              <w:t>60,583</w:t>
            </w:r>
          </w:p>
        </w:tc>
        <w:tc>
          <w:tcPr>
            <w:tcW w:w="1262" w:type="dxa"/>
            <w:vAlign w:val="center"/>
          </w:tcPr>
          <w:p w:rsidR="00415792" w:rsidRPr="008E2DD7" w:rsidRDefault="00415792" w:rsidP="00596C93">
            <w:pPr>
              <w:ind w:right="113"/>
              <w:jc w:val="right"/>
              <w:rPr>
                <w:rFonts w:eastAsia="標楷體"/>
              </w:rPr>
            </w:pPr>
            <w:r w:rsidRPr="008E2DD7">
              <w:rPr>
                <w:rFonts w:eastAsia="標楷體"/>
              </w:rPr>
              <w:t>52,723</w:t>
            </w:r>
          </w:p>
        </w:tc>
        <w:tc>
          <w:tcPr>
            <w:tcW w:w="1261" w:type="dxa"/>
            <w:vAlign w:val="center"/>
          </w:tcPr>
          <w:p w:rsidR="00415792" w:rsidRPr="008E2DD7" w:rsidRDefault="00415792" w:rsidP="00596C93">
            <w:pPr>
              <w:spacing w:line="300" w:lineRule="exact"/>
              <w:jc w:val="right"/>
              <w:rPr>
                <w:rFonts w:eastAsia="標楷體"/>
              </w:rPr>
            </w:pPr>
            <w:r w:rsidRPr="008E2DD7">
              <w:rPr>
                <w:rFonts w:eastAsia="標楷體"/>
              </w:rPr>
              <w:t>88,799</w:t>
            </w:r>
          </w:p>
        </w:tc>
        <w:tc>
          <w:tcPr>
            <w:tcW w:w="1262" w:type="dxa"/>
            <w:vAlign w:val="center"/>
          </w:tcPr>
          <w:p w:rsidR="00415792" w:rsidRPr="008E2DD7" w:rsidRDefault="00415792" w:rsidP="00596C93">
            <w:pPr>
              <w:spacing w:line="300" w:lineRule="exact"/>
              <w:jc w:val="right"/>
              <w:rPr>
                <w:rFonts w:eastAsia="標楷體"/>
              </w:rPr>
            </w:pPr>
            <w:r w:rsidRPr="008E2DD7">
              <w:rPr>
                <w:rFonts w:eastAsia="標楷體"/>
              </w:rPr>
              <w:t>475,058</w:t>
            </w:r>
          </w:p>
        </w:tc>
        <w:tc>
          <w:tcPr>
            <w:tcW w:w="1261" w:type="dxa"/>
            <w:vAlign w:val="center"/>
          </w:tcPr>
          <w:p w:rsidR="00415792" w:rsidRPr="008E2DD7" w:rsidRDefault="00415792" w:rsidP="007345C7">
            <w:pPr>
              <w:spacing w:line="300" w:lineRule="exact"/>
              <w:jc w:val="right"/>
              <w:rPr>
                <w:rFonts w:eastAsia="標楷體"/>
              </w:rPr>
            </w:pPr>
            <w:r w:rsidRPr="008E2DD7">
              <w:rPr>
                <w:rFonts w:eastAsia="標楷體"/>
              </w:rPr>
              <w:t>604,994</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64,025</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毛利率</w:t>
            </w:r>
            <w:r w:rsidRPr="008E2DD7">
              <w:rPr>
                <w:rFonts w:eastAsia="標楷體"/>
              </w:rPr>
              <w:t>(%)</w:t>
            </w:r>
          </w:p>
        </w:tc>
        <w:tc>
          <w:tcPr>
            <w:tcW w:w="1261" w:type="dxa"/>
            <w:vAlign w:val="bottom"/>
          </w:tcPr>
          <w:p w:rsidR="00415792" w:rsidRPr="008E2DD7" w:rsidRDefault="00415792" w:rsidP="00596C93">
            <w:pPr>
              <w:ind w:right="113"/>
              <w:jc w:val="right"/>
              <w:rPr>
                <w:rFonts w:eastAsia="標楷體"/>
              </w:rPr>
            </w:pPr>
            <w:r w:rsidRPr="008E2DD7">
              <w:rPr>
                <w:rFonts w:eastAsia="標楷體"/>
              </w:rPr>
              <w:t>26.56</w:t>
            </w:r>
          </w:p>
        </w:tc>
        <w:tc>
          <w:tcPr>
            <w:tcW w:w="1262" w:type="dxa"/>
            <w:vAlign w:val="bottom"/>
          </w:tcPr>
          <w:p w:rsidR="00415792" w:rsidRPr="008E2DD7" w:rsidRDefault="00415792" w:rsidP="00596C93">
            <w:pPr>
              <w:ind w:right="113"/>
              <w:jc w:val="right"/>
              <w:rPr>
                <w:rFonts w:eastAsia="標楷體"/>
              </w:rPr>
            </w:pPr>
            <w:r w:rsidRPr="008E2DD7">
              <w:rPr>
                <w:rFonts w:eastAsia="標楷體"/>
              </w:rPr>
              <w:t>19.00</w:t>
            </w:r>
          </w:p>
        </w:tc>
        <w:tc>
          <w:tcPr>
            <w:tcW w:w="1261" w:type="dxa"/>
            <w:vAlign w:val="bottom"/>
          </w:tcPr>
          <w:p w:rsidR="00415792" w:rsidRPr="008E2DD7" w:rsidRDefault="00415792" w:rsidP="00596C93">
            <w:pPr>
              <w:spacing w:line="300" w:lineRule="exact"/>
              <w:jc w:val="right"/>
              <w:rPr>
                <w:rFonts w:eastAsia="標楷體"/>
              </w:rPr>
            </w:pPr>
            <w:r w:rsidRPr="008E2DD7">
              <w:rPr>
                <w:rFonts w:eastAsia="標楷體"/>
              </w:rPr>
              <w:t>11.11</w:t>
            </w:r>
          </w:p>
        </w:tc>
        <w:tc>
          <w:tcPr>
            <w:tcW w:w="1262" w:type="dxa"/>
            <w:vAlign w:val="bottom"/>
          </w:tcPr>
          <w:p w:rsidR="00415792" w:rsidRPr="008E2DD7" w:rsidRDefault="00415792" w:rsidP="00596C93">
            <w:pPr>
              <w:spacing w:line="300" w:lineRule="exact"/>
              <w:jc w:val="right"/>
              <w:rPr>
                <w:rFonts w:eastAsia="標楷體"/>
              </w:rPr>
            </w:pPr>
            <w:r w:rsidRPr="008E2DD7">
              <w:rPr>
                <w:rFonts w:eastAsia="標楷體"/>
              </w:rPr>
              <w:t>38.26</w:t>
            </w:r>
          </w:p>
        </w:tc>
        <w:tc>
          <w:tcPr>
            <w:tcW w:w="1261" w:type="dxa"/>
            <w:tcBorders>
              <w:right w:val="nil"/>
            </w:tcBorders>
            <w:vAlign w:val="bottom"/>
          </w:tcPr>
          <w:p w:rsidR="00415792" w:rsidRPr="008E2DD7" w:rsidRDefault="00415792" w:rsidP="007345C7">
            <w:pPr>
              <w:spacing w:line="300" w:lineRule="exact"/>
              <w:jc w:val="right"/>
              <w:rPr>
                <w:rFonts w:eastAsia="標楷體"/>
              </w:rPr>
            </w:pPr>
            <w:r w:rsidRPr="008E2DD7">
              <w:rPr>
                <w:rFonts w:eastAsia="標楷體"/>
              </w:rPr>
              <w:t>40.24</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46.25</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營業外收入</w:t>
            </w:r>
          </w:p>
        </w:tc>
        <w:tc>
          <w:tcPr>
            <w:tcW w:w="1261" w:type="dxa"/>
            <w:tcBorders>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rPr>
            </w:pPr>
            <w:r w:rsidRPr="008E2DD7">
              <w:rPr>
                <w:rFonts w:eastAsia="標楷體"/>
              </w:rPr>
              <w:t>7,534</w:t>
            </w:r>
          </w:p>
        </w:tc>
        <w:tc>
          <w:tcPr>
            <w:tcW w:w="1262" w:type="dxa"/>
            <w:tcBorders>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rPr>
            </w:pPr>
            <w:r w:rsidRPr="008E2DD7">
              <w:rPr>
                <w:rFonts w:eastAsia="標楷體"/>
              </w:rPr>
              <w:t>3,870</w:t>
            </w:r>
          </w:p>
        </w:tc>
        <w:tc>
          <w:tcPr>
            <w:tcW w:w="1261" w:type="dxa"/>
            <w:tcBorders>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rPr>
            </w:pPr>
            <w:r w:rsidRPr="008E2DD7">
              <w:rPr>
                <w:rFonts w:eastAsia="標楷體"/>
              </w:rPr>
              <w:t>2,019</w:t>
            </w:r>
          </w:p>
        </w:tc>
        <w:tc>
          <w:tcPr>
            <w:tcW w:w="1262" w:type="dxa"/>
            <w:tcBorders>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rPr>
            </w:pPr>
            <w:r w:rsidRPr="008E2DD7">
              <w:rPr>
                <w:rFonts w:eastAsia="標楷體"/>
              </w:rPr>
              <w:t>4,189</w:t>
            </w:r>
          </w:p>
        </w:tc>
        <w:tc>
          <w:tcPr>
            <w:tcW w:w="1261" w:type="dxa"/>
            <w:tcBorders>
              <w:left w:val="single" w:sz="6" w:space="0" w:color="auto"/>
              <w:bottom w:val="single" w:sz="6" w:space="0" w:color="auto"/>
            </w:tcBorders>
            <w:vAlign w:val="center"/>
          </w:tcPr>
          <w:p w:rsidR="00415792" w:rsidRPr="008E2DD7" w:rsidRDefault="00415792" w:rsidP="007345C7">
            <w:pPr>
              <w:spacing w:line="300" w:lineRule="exact"/>
              <w:jc w:val="right"/>
              <w:rPr>
                <w:rFonts w:eastAsia="標楷體"/>
              </w:rPr>
            </w:pPr>
            <w:r w:rsidRPr="008E2DD7">
              <w:rPr>
                <w:rFonts w:eastAsia="標楷體"/>
              </w:rPr>
              <w:t>65,098</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57</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營業外支出</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color w:val="000000"/>
              </w:rPr>
            </w:pPr>
            <w:r w:rsidRPr="008E2DD7">
              <w:rPr>
                <w:rFonts w:eastAsia="標楷體"/>
                <w:color w:val="000000"/>
              </w:rPr>
              <w:t>553</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645</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1,553</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125,039</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7345C7">
            <w:pPr>
              <w:spacing w:line="300" w:lineRule="exact"/>
              <w:jc w:val="right"/>
              <w:rPr>
                <w:rFonts w:eastAsia="標楷體"/>
                <w:color w:val="000000"/>
              </w:rPr>
            </w:pPr>
            <w:r w:rsidRPr="008E2DD7">
              <w:rPr>
                <w:rFonts w:eastAsia="標楷體"/>
                <w:color w:val="000000"/>
              </w:rPr>
              <w:t>110,532</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9,838</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稅前損益</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41,654</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48,114</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77,373</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289,681</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7345C7">
            <w:pPr>
              <w:spacing w:line="300" w:lineRule="exact"/>
              <w:jc w:val="right"/>
              <w:rPr>
                <w:rFonts w:eastAsia="標楷體"/>
                <w:color w:val="000000"/>
              </w:rPr>
            </w:pPr>
            <w:r w:rsidRPr="008E2DD7">
              <w:rPr>
                <w:rFonts w:eastAsia="標楷體"/>
                <w:color w:val="000000"/>
              </w:rPr>
              <w:t>440,849</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54,573</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稅後損益</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34,550</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41,853</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62,862</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pacing w:line="300" w:lineRule="exact"/>
              <w:jc w:val="right"/>
              <w:rPr>
                <w:rFonts w:eastAsia="標楷體"/>
                <w:color w:val="000000"/>
              </w:rPr>
            </w:pPr>
            <w:r w:rsidRPr="008E2DD7">
              <w:rPr>
                <w:rFonts w:eastAsia="標楷體"/>
                <w:color w:val="000000"/>
              </w:rPr>
              <w:t>268,196</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4E7BA8">
            <w:pPr>
              <w:spacing w:line="300" w:lineRule="exact"/>
              <w:jc w:val="right"/>
              <w:rPr>
                <w:rFonts w:eastAsia="標楷體"/>
                <w:color w:val="000000"/>
              </w:rPr>
            </w:pPr>
            <w:r w:rsidRPr="008E2DD7">
              <w:rPr>
                <w:rFonts w:eastAsia="標楷體"/>
                <w:color w:val="000000"/>
              </w:rPr>
              <w:t>395,972</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1C389A">
            <w:pPr>
              <w:ind w:right="57"/>
              <w:jc w:val="right"/>
              <w:rPr>
                <w:rFonts w:eastAsia="標楷體"/>
              </w:rPr>
            </w:pPr>
            <w:r w:rsidRPr="008E2DD7">
              <w:rPr>
                <w:rFonts w:eastAsia="標楷體"/>
              </w:rPr>
              <w:t>53,499</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本期淨利歸屬於母公司</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hint="eastAsia"/>
                <w:color w:val="000000"/>
              </w:rPr>
              <w:t>不適用</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hint="eastAsia"/>
                <w:color w:val="000000"/>
              </w:rPr>
              <w:t>不適用</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color w:val="000000"/>
              </w:rPr>
              <w:t>62,862</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color w:val="000000"/>
              </w:rPr>
              <w:t>227,033</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7345C7">
            <w:pPr>
              <w:snapToGrid w:val="0"/>
              <w:spacing w:line="300" w:lineRule="exact"/>
              <w:jc w:val="right"/>
              <w:rPr>
                <w:rFonts w:eastAsia="標楷體"/>
                <w:color w:val="000000"/>
              </w:rPr>
            </w:pPr>
            <w:r w:rsidRPr="008E2DD7">
              <w:rPr>
                <w:rFonts w:eastAsia="標楷體"/>
                <w:color w:val="000000"/>
              </w:rPr>
              <w:t>300,506</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45,186</w:t>
            </w:r>
          </w:p>
        </w:tc>
      </w:tr>
      <w:tr w:rsidR="00415792" w:rsidRPr="008E2DD7" w:rsidTr="008E2DD7">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每股盈餘（元）追溯前</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color w:val="000000"/>
              </w:rPr>
              <w:t>6.69</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color w:val="000000"/>
              </w:rPr>
              <w:t>4.76</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color w:val="000000"/>
              </w:rPr>
              <w:t>7.14</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snapToGrid w:val="0"/>
              <w:spacing w:line="300" w:lineRule="exact"/>
              <w:jc w:val="right"/>
              <w:rPr>
                <w:rFonts w:eastAsia="標楷體"/>
                <w:color w:val="000000"/>
              </w:rPr>
            </w:pPr>
            <w:r w:rsidRPr="008E2DD7">
              <w:rPr>
                <w:rFonts w:eastAsia="標楷體"/>
                <w:color w:val="000000"/>
              </w:rPr>
              <w:t>2.17</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7345C7">
            <w:pPr>
              <w:snapToGrid w:val="0"/>
              <w:spacing w:line="300" w:lineRule="exact"/>
              <w:jc w:val="right"/>
              <w:rPr>
                <w:rFonts w:eastAsia="標楷體"/>
                <w:color w:val="000000"/>
              </w:rPr>
            </w:pPr>
            <w:r w:rsidRPr="008E2DD7">
              <w:rPr>
                <w:rFonts w:eastAsia="標楷體"/>
                <w:color w:val="000000"/>
              </w:rPr>
              <w:t>2.83</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rPr>
              <w:t>0.40</w:t>
            </w:r>
          </w:p>
        </w:tc>
      </w:tr>
      <w:tr w:rsidR="00415792" w:rsidRPr="008E2DD7" w:rsidTr="008E2DD7">
        <w:trPr>
          <w:jc w:val="center"/>
        </w:trPr>
        <w:tc>
          <w:tcPr>
            <w:tcW w:w="568" w:type="dxa"/>
            <w:vMerge w:val="restart"/>
            <w:tcBorders>
              <w:top w:val="single" w:sz="6" w:space="0" w:color="auto"/>
              <w:left w:val="single" w:sz="12" w:space="0" w:color="auto"/>
              <w:bottom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股利發放</w:t>
            </w:r>
          </w:p>
        </w:tc>
        <w:tc>
          <w:tcPr>
            <w:tcW w:w="1530" w:type="dxa"/>
            <w:tcBorders>
              <w:top w:val="single" w:sz="6" w:space="0" w:color="auto"/>
              <w:bottom w:val="single" w:sz="6" w:space="0" w:color="auto"/>
              <w:right w:val="single" w:sz="6" w:space="0" w:color="auto"/>
            </w:tcBorders>
            <w:vAlign w:val="center"/>
          </w:tcPr>
          <w:p w:rsidR="00415792" w:rsidRPr="008E2DD7" w:rsidRDefault="00415792" w:rsidP="00596C93">
            <w:pPr>
              <w:jc w:val="distribute"/>
              <w:rPr>
                <w:rFonts w:eastAsia="標楷體"/>
              </w:rPr>
            </w:pPr>
            <w:r w:rsidRPr="008E2DD7">
              <w:rPr>
                <w:rFonts w:eastAsia="標楷體" w:hint="eastAsia"/>
              </w:rPr>
              <w:t>現金股利</w:t>
            </w:r>
            <w:r w:rsidRPr="008E2DD7">
              <w:rPr>
                <w:rFonts w:eastAsia="標楷體"/>
              </w:rPr>
              <w:t>(</w:t>
            </w:r>
            <w:r w:rsidRPr="008E2DD7">
              <w:rPr>
                <w:rFonts w:eastAsia="標楷體" w:hint="eastAsia"/>
              </w:rPr>
              <w:t>元</w:t>
            </w:r>
            <w:r w:rsidRPr="008E2DD7">
              <w:rPr>
                <w:rFonts w:eastAsia="標楷體"/>
              </w:rPr>
              <w:t>)</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color w:val="000000"/>
              </w:rPr>
            </w:pPr>
            <w:r w:rsidRPr="008E2DD7">
              <w:rPr>
                <w:rFonts w:eastAsia="標楷體"/>
                <w:color w:val="000000"/>
              </w:rPr>
              <w:t>2</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color w:val="000000"/>
              </w:rPr>
            </w:pPr>
            <w:r w:rsidRPr="008E2DD7">
              <w:rPr>
                <w:rFonts w:eastAsia="標楷體"/>
                <w:color w:val="000000"/>
              </w:rPr>
              <w:t>1.36</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color w:val="000000"/>
              </w:rPr>
            </w:pPr>
            <w:r w:rsidRPr="008E2DD7">
              <w:rPr>
                <w:rFonts w:eastAsia="標楷體"/>
                <w:color w:val="000000"/>
              </w:rPr>
              <w:t>0</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color w:val="000000"/>
              </w:rPr>
            </w:pPr>
            <w:r w:rsidRPr="008E2DD7">
              <w:rPr>
                <w:rFonts w:eastAsia="標楷體"/>
                <w:color w:val="000000"/>
              </w:rPr>
              <w:t>2.6</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596C93">
            <w:pPr>
              <w:ind w:right="113"/>
              <w:jc w:val="right"/>
              <w:rPr>
                <w:rFonts w:eastAsia="標楷體"/>
                <w:color w:val="000000"/>
              </w:rPr>
            </w:pPr>
            <w:r w:rsidRPr="008E2DD7">
              <w:rPr>
                <w:rFonts w:eastAsia="標楷體" w:hint="eastAsia"/>
                <w:color w:val="000000"/>
              </w:rPr>
              <w:t>不適用</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hint="eastAsia"/>
              </w:rPr>
              <w:t>不適用</w:t>
            </w:r>
          </w:p>
        </w:tc>
      </w:tr>
      <w:tr w:rsidR="00415792" w:rsidRPr="008E2DD7" w:rsidTr="008E2DD7">
        <w:trPr>
          <w:jc w:val="center"/>
        </w:trPr>
        <w:tc>
          <w:tcPr>
            <w:tcW w:w="568" w:type="dxa"/>
            <w:vMerge/>
            <w:tcBorders>
              <w:left w:val="single" w:sz="12" w:space="0" w:color="auto"/>
              <w:bottom w:val="single" w:sz="6" w:space="0" w:color="auto"/>
            </w:tcBorders>
            <w:vAlign w:val="center"/>
          </w:tcPr>
          <w:p w:rsidR="00415792" w:rsidRPr="008E2DD7" w:rsidRDefault="00415792" w:rsidP="00596C93">
            <w:pPr>
              <w:jc w:val="distribute"/>
              <w:rPr>
                <w:rFonts w:eastAsia="標楷體"/>
              </w:rPr>
            </w:pPr>
          </w:p>
        </w:tc>
        <w:tc>
          <w:tcPr>
            <w:tcW w:w="1530" w:type="dxa"/>
            <w:tcBorders>
              <w:top w:val="single" w:sz="6" w:space="0" w:color="auto"/>
              <w:bottom w:val="single" w:sz="6" w:space="0" w:color="auto"/>
              <w:right w:val="single" w:sz="6" w:space="0" w:color="auto"/>
            </w:tcBorders>
            <w:vAlign w:val="center"/>
          </w:tcPr>
          <w:p w:rsidR="00415792" w:rsidRPr="008E2DD7" w:rsidRDefault="00415792" w:rsidP="00596C93">
            <w:pPr>
              <w:jc w:val="both"/>
              <w:rPr>
                <w:rFonts w:eastAsia="標楷體"/>
              </w:rPr>
            </w:pPr>
            <w:r w:rsidRPr="008E2DD7">
              <w:rPr>
                <w:rFonts w:eastAsia="標楷體" w:hint="eastAsia"/>
              </w:rPr>
              <w:t>股票股利</w:t>
            </w:r>
            <w:r w:rsidRPr="008E2DD7">
              <w:rPr>
                <w:rFonts w:eastAsia="標楷體"/>
              </w:rPr>
              <w:t>(</w:t>
            </w:r>
            <w:r w:rsidRPr="008E2DD7">
              <w:rPr>
                <w:rFonts w:eastAsia="標楷體" w:hint="eastAsia"/>
              </w:rPr>
              <w:t>資本公積轉增資</w:t>
            </w:r>
            <w:r w:rsidRPr="008E2DD7">
              <w:rPr>
                <w:rFonts w:eastAsia="標楷體"/>
              </w:rPr>
              <w:t>)(</w:t>
            </w:r>
            <w:r w:rsidRPr="008E2DD7">
              <w:rPr>
                <w:rFonts w:eastAsia="標楷體" w:hint="eastAsia"/>
              </w:rPr>
              <w:t>元</w:t>
            </w:r>
            <w:r w:rsidRPr="008E2DD7">
              <w:rPr>
                <w:rFonts w:eastAsia="標楷體"/>
              </w:rPr>
              <w:t>)</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0</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0</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0</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0</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596C93">
            <w:pPr>
              <w:ind w:right="113"/>
              <w:jc w:val="right"/>
              <w:rPr>
                <w:rFonts w:eastAsia="標楷體"/>
              </w:rPr>
            </w:pPr>
            <w:r w:rsidRPr="008E2DD7">
              <w:rPr>
                <w:rFonts w:eastAsia="標楷體" w:hint="eastAsia"/>
              </w:rPr>
              <w:t>不適用</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hint="eastAsia"/>
              </w:rPr>
              <w:t>不適用</w:t>
            </w:r>
          </w:p>
        </w:tc>
      </w:tr>
      <w:tr w:rsidR="00415792" w:rsidRPr="008E2DD7" w:rsidTr="008E2DD7">
        <w:trPr>
          <w:jc w:val="center"/>
        </w:trPr>
        <w:tc>
          <w:tcPr>
            <w:tcW w:w="568" w:type="dxa"/>
            <w:vMerge/>
            <w:tcBorders>
              <w:left w:val="single" w:sz="12" w:space="0" w:color="auto"/>
              <w:bottom w:val="single" w:sz="6" w:space="0" w:color="auto"/>
            </w:tcBorders>
            <w:vAlign w:val="center"/>
          </w:tcPr>
          <w:p w:rsidR="00415792" w:rsidRPr="008E2DD7" w:rsidRDefault="00415792" w:rsidP="00596C93">
            <w:pPr>
              <w:jc w:val="distribute"/>
              <w:rPr>
                <w:rFonts w:eastAsia="標楷體"/>
              </w:rPr>
            </w:pPr>
          </w:p>
        </w:tc>
        <w:tc>
          <w:tcPr>
            <w:tcW w:w="1530" w:type="dxa"/>
            <w:tcBorders>
              <w:top w:val="single" w:sz="6" w:space="0" w:color="auto"/>
              <w:bottom w:val="single" w:sz="6" w:space="0" w:color="auto"/>
              <w:right w:val="single" w:sz="6" w:space="0" w:color="auto"/>
            </w:tcBorders>
            <w:vAlign w:val="center"/>
          </w:tcPr>
          <w:p w:rsidR="00415792" w:rsidRPr="008E2DD7" w:rsidRDefault="00415792" w:rsidP="00596C93">
            <w:pPr>
              <w:jc w:val="both"/>
              <w:rPr>
                <w:rFonts w:eastAsia="標楷體"/>
              </w:rPr>
            </w:pPr>
            <w:r w:rsidRPr="008E2DD7">
              <w:rPr>
                <w:rFonts w:eastAsia="標楷體" w:hint="eastAsia"/>
              </w:rPr>
              <w:t>股票股利</w:t>
            </w:r>
            <w:r w:rsidRPr="008E2DD7">
              <w:rPr>
                <w:rFonts w:eastAsia="標楷體"/>
              </w:rPr>
              <w:t>(</w:t>
            </w:r>
            <w:r w:rsidRPr="008E2DD7">
              <w:rPr>
                <w:rFonts w:eastAsia="標楷體" w:hint="eastAsia"/>
              </w:rPr>
              <w:t>盈餘轉增資</w:t>
            </w:r>
            <w:r w:rsidRPr="008E2DD7">
              <w:rPr>
                <w:rFonts w:eastAsia="標楷體"/>
              </w:rPr>
              <w:t>)(</w:t>
            </w:r>
            <w:r w:rsidRPr="008E2DD7">
              <w:rPr>
                <w:rFonts w:eastAsia="標楷體" w:hint="eastAsia"/>
              </w:rPr>
              <w:t>元</w:t>
            </w:r>
            <w:r w:rsidRPr="008E2DD7">
              <w:rPr>
                <w:rFonts w:eastAsia="標楷體"/>
              </w:rPr>
              <w:t>)</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4.67</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0</w:t>
            </w:r>
          </w:p>
        </w:tc>
        <w:tc>
          <w:tcPr>
            <w:tcW w:w="1261"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5.91</w:t>
            </w:r>
          </w:p>
        </w:tc>
        <w:tc>
          <w:tcPr>
            <w:tcW w:w="1262"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596C93">
            <w:pPr>
              <w:ind w:right="113"/>
              <w:jc w:val="right"/>
              <w:rPr>
                <w:rFonts w:eastAsia="標楷體"/>
              </w:rPr>
            </w:pPr>
            <w:r w:rsidRPr="008E2DD7">
              <w:rPr>
                <w:rFonts w:eastAsia="標楷體"/>
              </w:rPr>
              <w:t>0</w:t>
            </w:r>
          </w:p>
        </w:tc>
        <w:tc>
          <w:tcPr>
            <w:tcW w:w="1261" w:type="dxa"/>
            <w:tcBorders>
              <w:top w:val="single" w:sz="6" w:space="0" w:color="auto"/>
              <w:left w:val="single" w:sz="6" w:space="0" w:color="auto"/>
              <w:bottom w:val="single" w:sz="6" w:space="0" w:color="auto"/>
            </w:tcBorders>
            <w:vAlign w:val="center"/>
          </w:tcPr>
          <w:p w:rsidR="00415792" w:rsidRPr="008E2DD7" w:rsidRDefault="00415792" w:rsidP="00596C93">
            <w:pPr>
              <w:ind w:right="113"/>
              <w:jc w:val="right"/>
              <w:rPr>
                <w:rFonts w:eastAsia="標楷體"/>
              </w:rPr>
            </w:pPr>
            <w:r w:rsidRPr="008E2DD7">
              <w:rPr>
                <w:rFonts w:eastAsia="標楷體" w:hint="eastAsia"/>
              </w:rPr>
              <w:t>不適用</w:t>
            </w:r>
          </w:p>
        </w:tc>
        <w:tc>
          <w:tcPr>
            <w:tcW w:w="1262" w:type="dxa"/>
            <w:tcBorders>
              <w:top w:val="single" w:sz="6" w:space="0" w:color="auto"/>
              <w:bottom w:val="single" w:sz="6" w:space="0" w:color="auto"/>
              <w:right w:val="single" w:sz="12" w:space="0" w:color="auto"/>
            </w:tcBorders>
            <w:vAlign w:val="center"/>
          </w:tcPr>
          <w:p w:rsidR="00415792" w:rsidRPr="008E2DD7" w:rsidRDefault="00415792" w:rsidP="00596C93">
            <w:pPr>
              <w:ind w:right="57"/>
              <w:jc w:val="right"/>
              <w:rPr>
                <w:rFonts w:eastAsia="標楷體"/>
              </w:rPr>
            </w:pPr>
            <w:r w:rsidRPr="008E2DD7">
              <w:rPr>
                <w:rFonts w:eastAsia="標楷體" w:hint="eastAsia"/>
              </w:rPr>
              <w:t>不適用</w:t>
            </w:r>
          </w:p>
        </w:tc>
      </w:tr>
    </w:tbl>
    <w:p w:rsidR="00415792" w:rsidRPr="008E2DD7" w:rsidRDefault="00415792" w:rsidP="00A92F7F">
      <w:pPr>
        <w:pStyle w:val="NormalWeb"/>
        <w:widowControl w:val="0"/>
        <w:spacing w:before="0" w:beforeAutospacing="0" w:after="0" w:afterAutospacing="0"/>
        <w:ind w:left="629" w:hanging="680"/>
        <w:rPr>
          <w:rFonts w:ascii="Times New Roman" w:eastAsia="標楷體" w:hAnsi="Times New Roman" w:cs="Times New Roman"/>
          <w:b/>
        </w:rPr>
      </w:pPr>
      <w:r w:rsidRPr="008E2DD7">
        <w:rPr>
          <w:rFonts w:ascii="Times New Roman" w:eastAsia="標楷體" w:hAnsi="Times New Roman" w:cs="Times New Roman" w:hint="eastAsia"/>
          <w:b/>
        </w:rPr>
        <w:t>註</w:t>
      </w:r>
      <w:r w:rsidRPr="008E2DD7">
        <w:rPr>
          <w:rFonts w:ascii="Times New Roman" w:eastAsia="標楷體" w:hAnsi="Times New Roman" w:cs="Times New Roman"/>
          <w:b/>
        </w:rPr>
        <w:t>1</w:t>
      </w:r>
      <w:r w:rsidRPr="008E2DD7">
        <w:rPr>
          <w:rFonts w:ascii="Times New Roman" w:eastAsia="標楷體" w:hAnsi="Times New Roman" w:cs="Times New Roman" w:hint="eastAsia"/>
          <w:b/>
        </w:rPr>
        <w:t>：係依</w:t>
      </w:r>
      <w:r w:rsidRPr="008E2DD7">
        <w:rPr>
          <w:rFonts w:ascii="Times New Roman" w:eastAsia="標楷體" w:hAnsi="Times New Roman" w:cs="Times New Roman"/>
          <w:b/>
        </w:rPr>
        <w:t>IFRS</w:t>
      </w:r>
      <w:r w:rsidRPr="008E2DD7">
        <w:rPr>
          <w:rFonts w:ascii="Times New Roman" w:eastAsia="標楷體" w:hAnsi="Times New Roman" w:cs="Times New Roman" w:hint="eastAsia"/>
          <w:b/>
        </w:rPr>
        <w:t>編製之合併自結數字，未經會計師查核簽證，因此可能與會計師查核結果存有差異，請投資人於參考時審慎評估。</w:t>
      </w:r>
    </w:p>
    <w:p w:rsidR="00415792" w:rsidRPr="008E2DD7" w:rsidRDefault="00415792" w:rsidP="00A92F7F">
      <w:pPr>
        <w:pStyle w:val="NormalWeb"/>
        <w:widowControl w:val="0"/>
        <w:spacing w:before="0" w:beforeAutospacing="0" w:after="0" w:afterAutospacing="0"/>
        <w:ind w:left="685" w:hanging="680"/>
        <w:rPr>
          <w:rFonts w:ascii="Times New Roman" w:eastAsia="標楷體" w:hAnsi="Times New Roman" w:cs="Times New Roman"/>
          <w:b/>
        </w:rPr>
      </w:pPr>
      <w:r w:rsidRPr="008E2DD7">
        <w:rPr>
          <w:rFonts w:ascii="Times New Roman" w:eastAsia="標楷體" w:hAnsi="Times New Roman" w:cs="Times New Roman" w:hint="eastAsia"/>
          <w:b/>
        </w:rPr>
        <w:t>註</w:t>
      </w:r>
      <w:r w:rsidRPr="008E2DD7">
        <w:rPr>
          <w:rFonts w:ascii="Times New Roman" w:eastAsia="標楷體" w:hAnsi="Times New Roman" w:cs="Times New Roman"/>
          <w:b/>
        </w:rPr>
        <w:t>2</w:t>
      </w:r>
      <w:r w:rsidRPr="008E2DD7">
        <w:rPr>
          <w:rFonts w:ascii="Times New Roman" w:eastAsia="標楷體" w:hAnsi="Times New Roman" w:cs="Times New Roman" w:hint="eastAsia"/>
          <w:b/>
        </w:rPr>
        <w:t>：上開財務資訊</w:t>
      </w:r>
      <w:r w:rsidRPr="008E2DD7">
        <w:rPr>
          <w:rFonts w:ascii="Times New Roman" w:eastAsia="標楷體" w:hAnsi="Times New Roman" w:cs="Times New Roman"/>
          <w:b/>
        </w:rPr>
        <w:t>99-100</w:t>
      </w:r>
      <w:r w:rsidRPr="008E2DD7">
        <w:rPr>
          <w:rFonts w:ascii="Times New Roman" w:eastAsia="標楷體" w:hAnsi="Times New Roman" w:cs="Times New Roman" w:hint="eastAsia"/>
          <w:b/>
        </w:rPr>
        <w:t>年度係依據</w:t>
      </w:r>
      <w:r w:rsidRPr="008E2DD7">
        <w:rPr>
          <w:rFonts w:ascii="Times New Roman" w:eastAsia="標楷體" w:hAnsi="Times New Roman" w:cs="Times New Roman"/>
          <w:b/>
        </w:rPr>
        <w:t>ROC GAAP</w:t>
      </w:r>
      <w:r w:rsidRPr="008E2DD7">
        <w:rPr>
          <w:rFonts w:ascii="Times New Roman" w:eastAsia="標楷體" w:hAnsi="Times New Roman" w:cs="Times New Roman" w:hint="eastAsia"/>
          <w:b/>
        </w:rPr>
        <w:t>編製之財務報表填列，</w:t>
      </w:r>
      <w:r w:rsidRPr="008E2DD7">
        <w:rPr>
          <w:rFonts w:ascii="Times New Roman" w:eastAsia="標楷體" w:hAnsi="Times New Roman" w:cs="Times New Roman"/>
          <w:b/>
        </w:rPr>
        <w:t>101-102</w:t>
      </w:r>
      <w:r w:rsidRPr="008E2DD7">
        <w:rPr>
          <w:rFonts w:ascii="Times New Roman" w:eastAsia="標楷體" w:hAnsi="Times New Roman" w:cs="Times New Roman" w:hint="eastAsia"/>
          <w:b/>
        </w:rPr>
        <w:t>年度係依據</w:t>
      </w:r>
      <w:r w:rsidRPr="008E2DD7">
        <w:rPr>
          <w:rFonts w:ascii="Times New Roman" w:eastAsia="標楷體" w:hAnsi="Times New Roman" w:cs="Times New Roman"/>
          <w:b/>
        </w:rPr>
        <w:t>ROC GAAP</w:t>
      </w:r>
      <w:r w:rsidRPr="008E2DD7">
        <w:rPr>
          <w:rFonts w:ascii="Times New Roman" w:eastAsia="標楷體" w:hAnsi="Times New Roman" w:cs="Times New Roman" w:hint="eastAsia"/>
          <w:b/>
        </w:rPr>
        <w:t>編製之合併財務報表填列，業經會計師查核簽證。</w:t>
      </w:r>
    </w:p>
    <w:p w:rsidR="00415792" w:rsidRPr="008E2DD7" w:rsidRDefault="00415792" w:rsidP="00A92F7F">
      <w:pPr>
        <w:kinsoku w:val="0"/>
        <w:overflowPunct w:val="0"/>
        <w:autoSpaceDE w:val="0"/>
        <w:autoSpaceDN w:val="0"/>
        <w:adjustRightInd w:val="0"/>
        <w:snapToGrid w:val="0"/>
        <w:spacing w:before="60"/>
        <w:ind w:left="680" w:hanging="680"/>
        <w:jc w:val="both"/>
        <w:rPr>
          <w:rFonts w:eastAsia="標楷體"/>
          <w:b/>
          <w:snapToGrid w:val="0"/>
          <w:kern w:val="0"/>
        </w:rPr>
      </w:pPr>
      <w:r w:rsidRPr="008E2DD7">
        <w:rPr>
          <w:rFonts w:eastAsia="標楷體" w:hint="eastAsia"/>
          <w:b/>
          <w:snapToGrid w:val="0"/>
          <w:spacing w:val="-1"/>
          <w:kern w:val="0"/>
        </w:rPr>
        <w:t>註</w:t>
      </w:r>
      <w:r w:rsidRPr="008E2DD7">
        <w:rPr>
          <w:rFonts w:eastAsia="標楷體"/>
          <w:b/>
          <w:snapToGrid w:val="0"/>
          <w:spacing w:val="-1"/>
          <w:kern w:val="0"/>
        </w:rPr>
        <w:t>3</w:t>
      </w:r>
      <w:r w:rsidRPr="008E2DD7">
        <w:rPr>
          <w:rFonts w:eastAsia="標楷體" w:hint="eastAsia"/>
          <w:b/>
          <w:snapToGrid w:val="0"/>
          <w:spacing w:val="-1"/>
          <w:kern w:val="0"/>
        </w:rPr>
        <w:t>：本公司於</w:t>
      </w:r>
      <w:r w:rsidRPr="008E2DD7">
        <w:rPr>
          <w:rFonts w:eastAsia="標楷體"/>
          <w:b/>
          <w:snapToGrid w:val="0"/>
          <w:spacing w:val="-1"/>
          <w:kern w:val="0"/>
        </w:rPr>
        <w:t>102</w:t>
      </w:r>
      <w:r w:rsidRPr="008E2DD7">
        <w:rPr>
          <w:rFonts w:eastAsia="標楷體" w:hint="eastAsia"/>
          <w:b/>
          <w:snapToGrid w:val="0"/>
          <w:spacing w:val="-1"/>
          <w:kern w:val="0"/>
        </w:rPr>
        <w:t>年</w:t>
      </w:r>
      <w:r w:rsidRPr="008E2DD7">
        <w:rPr>
          <w:rFonts w:eastAsia="標楷體"/>
          <w:b/>
          <w:snapToGrid w:val="0"/>
          <w:spacing w:val="-1"/>
          <w:kern w:val="0"/>
        </w:rPr>
        <w:t>11</w:t>
      </w:r>
      <w:r w:rsidRPr="008E2DD7">
        <w:rPr>
          <w:rFonts w:eastAsia="標楷體" w:hint="eastAsia"/>
          <w:b/>
          <w:snapToGrid w:val="0"/>
          <w:spacing w:val="-1"/>
          <w:kern w:val="0"/>
        </w:rPr>
        <w:t>月</w:t>
      </w:r>
      <w:r w:rsidRPr="008E2DD7">
        <w:rPr>
          <w:rFonts w:eastAsia="標楷體"/>
          <w:b/>
          <w:snapToGrid w:val="0"/>
          <w:spacing w:val="-1"/>
          <w:kern w:val="0"/>
        </w:rPr>
        <w:t>27</w:t>
      </w:r>
      <w:r w:rsidRPr="008E2DD7">
        <w:rPr>
          <w:rFonts w:eastAsia="標楷體" w:hint="eastAsia"/>
          <w:b/>
          <w:snapToGrid w:val="0"/>
          <w:spacing w:val="-1"/>
          <w:kern w:val="0"/>
        </w:rPr>
        <w:t>日為基準日進行組織架構重組後，直接持有東山林公司股權</w:t>
      </w:r>
      <w:r w:rsidRPr="008E2DD7">
        <w:rPr>
          <w:rFonts w:eastAsia="標楷體"/>
          <w:b/>
          <w:snapToGrid w:val="0"/>
          <w:spacing w:val="-1"/>
          <w:kern w:val="0"/>
        </w:rPr>
        <w:t>100%</w:t>
      </w:r>
      <w:r w:rsidRPr="008E2DD7">
        <w:rPr>
          <w:rFonts w:eastAsia="標楷體" w:hint="eastAsia"/>
          <w:b/>
          <w:snapToGrid w:val="0"/>
          <w:spacing w:val="-1"/>
          <w:kern w:val="0"/>
        </w:rPr>
        <w:t>及綠山林公司股權</w:t>
      </w:r>
      <w:r w:rsidRPr="008E2DD7">
        <w:rPr>
          <w:rFonts w:eastAsia="標楷體"/>
          <w:b/>
          <w:snapToGrid w:val="0"/>
          <w:kern w:val="0"/>
        </w:rPr>
        <w:t>70%</w:t>
      </w:r>
      <w:r w:rsidRPr="008E2DD7">
        <w:rPr>
          <w:rFonts w:eastAsia="標楷體" w:hint="eastAsia"/>
          <w:b/>
          <w:snapToGrid w:val="0"/>
          <w:kern w:val="0"/>
        </w:rPr>
        <w:t>，依照中華民國會計研究發展基金會</w:t>
      </w:r>
      <w:r w:rsidRPr="008E2DD7">
        <w:rPr>
          <w:rFonts w:eastAsia="標楷體"/>
          <w:b/>
          <w:snapToGrid w:val="0"/>
          <w:kern w:val="0"/>
        </w:rPr>
        <w:t>(95)</w:t>
      </w:r>
      <w:r w:rsidRPr="008E2DD7">
        <w:rPr>
          <w:rFonts w:eastAsia="標楷體" w:hint="eastAsia"/>
          <w:b/>
          <w:snapToGrid w:val="0"/>
          <w:kern w:val="0"/>
        </w:rPr>
        <w:t>基祕字第</w:t>
      </w:r>
      <w:r w:rsidRPr="008E2DD7">
        <w:rPr>
          <w:rFonts w:eastAsia="標楷體"/>
          <w:b/>
          <w:snapToGrid w:val="0"/>
          <w:kern w:val="0"/>
        </w:rPr>
        <w:t>141</w:t>
      </w:r>
      <w:r w:rsidRPr="008E2DD7">
        <w:rPr>
          <w:rFonts w:eastAsia="標楷體" w:hint="eastAsia"/>
          <w:b/>
          <w:snapToGrid w:val="0"/>
          <w:kern w:val="0"/>
        </w:rPr>
        <w:t>號函及</w:t>
      </w:r>
      <w:r w:rsidRPr="008E2DD7">
        <w:rPr>
          <w:rFonts w:eastAsia="標楷體"/>
          <w:b/>
          <w:snapToGrid w:val="0"/>
          <w:kern w:val="0"/>
        </w:rPr>
        <w:t>(101)</w:t>
      </w:r>
      <w:r w:rsidRPr="008E2DD7">
        <w:rPr>
          <w:rFonts w:eastAsia="標楷體" w:hint="eastAsia"/>
          <w:b/>
          <w:snapToGrid w:val="0"/>
          <w:kern w:val="0"/>
        </w:rPr>
        <w:t>基祕字第</w:t>
      </w:r>
      <w:r w:rsidRPr="008E2DD7">
        <w:rPr>
          <w:rFonts w:eastAsia="標楷體"/>
          <w:b/>
          <w:snapToGrid w:val="0"/>
          <w:kern w:val="0"/>
        </w:rPr>
        <w:t>301</w:t>
      </w:r>
      <w:r w:rsidRPr="008E2DD7">
        <w:rPr>
          <w:rFonts w:eastAsia="標楷體" w:hint="eastAsia"/>
          <w:b/>
          <w:snapToGrid w:val="0"/>
          <w:kern w:val="0"/>
        </w:rPr>
        <w:t>號函之規定，將子公司視為自始合併，故</w:t>
      </w:r>
      <w:r w:rsidRPr="008E2DD7">
        <w:rPr>
          <w:rFonts w:eastAsia="標楷體"/>
          <w:b/>
          <w:snapToGrid w:val="0"/>
          <w:kern w:val="0"/>
        </w:rPr>
        <w:t>102</w:t>
      </w:r>
      <w:r w:rsidRPr="008E2DD7">
        <w:rPr>
          <w:rFonts w:eastAsia="標楷體" w:hint="eastAsia"/>
          <w:b/>
          <w:snapToGrid w:val="0"/>
          <w:kern w:val="0"/>
        </w:rPr>
        <w:t>年度財務報告追溯調整認列損益為</w:t>
      </w:r>
      <w:smartTag w:uri="urn:schemas-microsoft-com:office:smarttags" w:element="chsdate">
        <w:smartTagPr>
          <w:attr w:name="IsROCDate" w:val="True"/>
          <w:attr w:name="IsLunarDate" w:val="False"/>
          <w:attr w:name="Day" w:val="1"/>
          <w:attr w:name="Month" w:val="1"/>
          <w:attr w:name="Year" w:val="2013"/>
        </w:smartTagPr>
        <w:r w:rsidRPr="008E2DD7">
          <w:rPr>
            <w:rFonts w:eastAsia="標楷體" w:hint="eastAsia"/>
            <w:b/>
            <w:snapToGrid w:val="0"/>
            <w:kern w:val="0"/>
          </w:rPr>
          <w:t>民國</w:t>
        </w:r>
        <w:r w:rsidRPr="008E2DD7">
          <w:rPr>
            <w:rFonts w:eastAsia="標楷體"/>
            <w:b/>
            <w:snapToGrid w:val="0"/>
            <w:kern w:val="0"/>
          </w:rPr>
          <w:t>102</w:t>
        </w:r>
        <w:r w:rsidRPr="008E2DD7">
          <w:rPr>
            <w:rFonts w:eastAsia="標楷體" w:hint="eastAsia"/>
            <w:b/>
            <w:snapToGrid w:val="0"/>
            <w:kern w:val="0"/>
          </w:rPr>
          <w:t>年</w:t>
        </w:r>
        <w:r w:rsidRPr="008E2DD7">
          <w:rPr>
            <w:rFonts w:eastAsia="標楷體"/>
            <w:b/>
            <w:snapToGrid w:val="0"/>
            <w:kern w:val="0"/>
          </w:rPr>
          <w:t>1</w:t>
        </w:r>
        <w:r w:rsidRPr="008E2DD7">
          <w:rPr>
            <w:rFonts w:eastAsia="標楷體" w:hint="eastAsia"/>
            <w:b/>
            <w:snapToGrid w:val="0"/>
            <w:kern w:val="0"/>
          </w:rPr>
          <w:t>月</w:t>
        </w:r>
        <w:r w:rsidRPr="008E2DD7">
          <w:rPr>
            <w:rFonts w:eastAsia="標楷體"/>
            <w:b/>
            <w:snapToGrid w:val="0"/>
            <w:kern w:val="0"/>
          </w:rPr>
          <w:t>1</w:t>
        </w:r>
        <w:r w:rsidRPr="008E2DD7">
          <w:rPr>
            <w:rFonts w:eastAsia="標楷體" w:hint="eastAsia"/>
            <w:b/>
            <w:snapToGrid w:val="0"/>
            <w:kern w:val="0"/>
          </w:rPr>
          <w:t>日</w:t>
        </w:r>
      </w:smartTag>
      <w:r w:rsidRPr="008E2DD7">
        <w:rPr>
          <w:rFonts w:eastAsia="標楷體" w:hint="eastAsia"/>
          <w:b/>
          <w:snapToGrid w:val="0"/>
          <w:kern w:val="0"/>
        </w:rPr>
        <w:t>至</w:t>
      </w:r>
      <w:smartTag w:uri="urn:schemas-microsoft-com:office:smarttags" w:element="chsdate">
        <w:smartTagPr>
          <w:attr w:name="IsROCDate" w:val="True"/>
          <w:attr w:name="IsLunarDate" w:val="False"/>
          <w:attr w:name="Day" w:val="31"/>
          <w:attr w:name="Month" w:val="12"/>
          <w:attr w:name="Year" w:val="2013"/>
        </w:smartTagPr>
        <w:r w:rsidRPr="008E2DD7">
          <w:rPr>
            <w:rFonts w:eastAsia="標楷體" w:hint="eastAsia"/>
            <w:b/>
            <w:snapToGrid w:val="0"/>
            <w:kern w:val="0"/>
          </w:rPr>
          <w:t>民國</w:t>
        </w:r>
        <w:r w:rsidRPr="008E2DD7">
          <w:rPr>
            <w:rFonts w:eastAsia="標楷體"/>
            <w:b/>
            <w:snapToGrid w:val="0"/>
            <w:kern w:val="0"/>
          </w:rPr>
          <w:t>102</w:t>
        </w:r>
        <w:r w:rsidRPr="008E2DD7">
          <w:rPr>
            <w:rFonts w:eastAsia="標楷體" w:hint="eastAsia"/>
            <w:b/>
            <w:snapToGrid w:val="0"/>
            <w:kern w:val="0"/>
          </w:rPr>
          <w:t>年</w:t>
        </w:r>
        <w:r w:rsidRPr="008E2DD7">
          <w:rPr>
            <w:rFonts w:eastAsia="標楷體"/>
            <w:b/>
            <w:snapToGrid w:val="0"/>
            <w:kern w:val="0"/>
          </w:rPr>
          <w:t>12</w:t>
        </w:r>
        <w:r w:rsidRPr="008E2DD7">
          <w:rPr>
            <w:rFonts w:eastAsia="標楷體" w:hint="eastAsia"/>
            <w:b/>
            <w:snapToGrid w:val="0"/>
            <w:kern w:val="0"/>
          </w:rPr>
          <w:t>月</w:t>
        </w:r>
        <w:r w:rsidRPr="008E2DD7">
          <w:rPr>
            <w:rFonts w:eastAsia="標楷體"/>
            <w:b/>
            <w:snapToGrid w:val="0"/>
            <w:kern w:val="0"/>
          </w:rPr>
          <w:t>31</w:t>
        </w:r>
        <w:r w:rsidRPr="008E2DD7">
          <w:rPr>
            <w:rFonts w:eastAsia="標楷體" w:hint="eastAsia"/>
            <w:b/>
            <w:snapToGrid w:val="0"/>
            <w:kern w:val="0"/>
          </w:rPr>
          <w:t>日</w:t>
        </w:r>
      </w:smartTag>
      <w:r w:rsidRPr="008E2DD7">
        <w:rPr>
          <w:rFonts w:eastAsia="標楷體" w:hint="eastAsia"/>
          <w:b/>
          <w:snapToGrid w:val="0"/>
          <w:kern w:val="0"/>
        </w:rPr>
        <w:t>。</w:t>
      </w: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kern w:val="2"/>
        </w:rPr>
      </w:pP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kern w:val="2"/>
        </w:rPr>
      </w:pPr>
    </w:p>
    <w:tbl>
      <w:tblPr>
        <w:tblpPr w:leftFromText="180" w:rightFromText="180" w:vertAnchor="text" w:horzAnchor="margin" w:tblpY="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53"/>
        <w:gridCol w:w="936"/>
        <w:gridCol w:w="1968"/>
        <w:gridCol w:w="1303"/>
        <w:gridCol w:w="1567"/>
        <w:gridCol w:w="1567"/>
      </w:tblGrid>
      <w:tr w:rsidR="00415792" w:rsidRPr="008E2DD7" w:rsidTr="001947FD">
        <w:trPr>
          <w:trHeight w:hRule="exact" w:val="1286"/>
        </w:trPr>
        <w:tc>
          <w:tcPr>
            <w:tcW w:w="5000" w:type="pct"/>
            <w:gridSpan w:val="6"/>
            <w:tcBorders>
              <w:top w:val="single" w:sz="6" w:space="0" w:color="auto"/>
              <w:left w:val="single" w:sz="12" w:space="0" w:color="auto"/>
              <w:bottom w:val="single" w:sz="6" w:space="0" w:color="auto"/>
              <w:right w:val="single" w:sz="12" w:space="0" w:color="auto"/>
            </w:tcBorders>
            <w:vAlign w:val="center"/>
          </w:tcPr>
          <w:p w:rsidR="00415792" w:rsidRPr="008E2DD7" w:rsidRDefault="00415792" w:rsidP="00415792">
            <w:pPr>
              <w:ind w:firstLineChars="1200" w:firstLine="31680"/>
              <w:rPr>
                <w:rFonts w:eastAsia="標楷體"/>
                <w:b/>
                <w:bCs/>
                <w:sz w:val="28"/>
              </w:rPr>
            </w:pPr>
            <w:bookmarkStart w:id="3" w:name="最近五年度簡明資產負債表"/>
            <w:bookmarkEnd w:id="3"/>
            <w:r w:rsidRPr="008E2DD7">
              <w:rPr>
                <w:rFonts w:eastAsia="標楷體" w:hint="eastAsia"/>
                <w:b/>
                <w:bCs/>
                <w:sz w:val="28"/>
              </w:rPr>
              <w:t>最近五年度簡明資產負債表</w:t>
            </w:r>
          </w:p>
          <w:p w:rsidR="00415792" w:rsidRPr="008E2DD7" w:rsidRDefault="00415792" w:rsidP="00415792">
            <w:pPr>
              <w:ind w:firstLineChars="2507" w:firstLine="31680"/>
              <w:jc w:val="both"/>
              <w:rPr>
                <w:rFonts w:eastAsia="標楷體"/>
                <w:b/>
                <w:bCs/>
              </w:rPr>
            </w:pPr>
            <w:r w:rsidRPr="008E2DD7">
              <w:rPr>
                <w:rFonts w:eastAsia="標楷體"/>
                <w:b/>
                <w:bCs/>
                <w:sz w:val="28"/>
              </w:rPr>
              <w:t xml:space="preserve">    </w:t>
            </w:r>
            <w:r w:rsidRPr="00E1564B">
              <w:rPr>
                <w:rFonts w:eastAsia="標楷體" w:hint="eastAsia"/>
                <w:bCs/>
              </w:rPr>
              <w:t>單</w:t>
            </w:r>
            <w:r w:rsidRPr="008E2DD7">
              <w:rPr>
                <w:rFonts w:eastAsia="標楷體" w:hint="eastAsia"/>
              </w:rPr>
              <w:t>位：新台幣千元</w:t>
            </w:r>
          </w:p>
          <w:p w:rsidR="00415792" w:rsidRPr="008E2DD7" w:rsidRDefault="00415792" w:rsidP="00415792">
            <w:pPr>
              <w:ind w:firstLineChars="1200" w:firstLine="31680"/>
              <w:rPr>
                <w:rFonts w:eastAsia="標楷體"/>
                <w:b/>
                <w:bCs/>
                <w:sz w:val="28"/>
              </w:rPr>
            </w:pPr>
          </w:p>
          <w:p w:rsidR="00415792" w:rsidRPr="008E2DD7" w:rsidRDefault="00415792" w:rsidP="00415792">
            <w:pPr>
              <w:ind w:firstLineChars="1500" w:firstLine="31680"/>
              <w:rPr>
                <w:rFonts w:eastAsia="標楷體"/>
              </w:rPr>
            </w:pPr>
          </w:p>
          <w:p w:rsidR="00415792" w:rsidRPr="008E2DD7" w:rsidRDefault="00415792" w:rsidP="00415792">
            <w:pPr>
              <w:ind w:firstLineChars="1500" w:firstLine="31680"/>
              <w:rPr>
                <w:rFonts w:eastAsia="標楷體"/>
              </w:rPr>
            </w:pPr>
            <w:r w:rsidRPr="008E2DD7">
              <w:rPr>
                <w:rFonts w:eastAsia="標楷體" w:hint="eastAsia"/>
              </w:rPr>
              <w:t>單位：新台幣仟元</w:t>
            </w:r>
            <w:r w:rsidRPr="008E2DD7">
              <w:rPr>
                <w:rFonts w:eastAsia="標楷體"/>
              </w:rPr>
              <w:t xml:space="preserve">         </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15792" w:rsidRPr="008E2DD7" w:rsidRDefault="00415792" w:rsidP="001947FD">
            <w:pPr>
              <w:ind w:left="57" w:right="57"/>
              <w:jc w:val="right"/>
              <w:rPr>
                <w:rFonts w:eastAsia="標楷體"/>
              </w:rPr>
            </w:pPr>
            <w:r w:rsidRPr="008E2DD7">
              <w:rPr>
                <w:rFonts w:eastAsia="標楷體" w:hint="eastAsia"/>
              </w:rPr>
              <w:t>年度</w:t>
            </w:r>
          </w:p>
          <w:p w:rsidR="00415792" w:rsidRPr="008E2DD7" w:rsidRDefault="00415792" w:rsidP="001947FD">
            <w:pPr>
              <w:rPr>
                <w:rFonts w:eastAsia="標楷體"/>
              </w:rPr>
            </w:pPr>
            <w:r w:rsidRPr="008E2DD7">
              <w:rPr>
                <w:rFonts w:eastAsia="標楷體" w:hint="eastAsia"/>
              </w:rPr>
              <w:t>項目</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1947FD">
            <w:pPr>
              <w:jc w:val="center"/>
              <w:rPr>
                <w:rFonts w:eastAsia="標楷體"/>
              </w:rPr>
            </w:pPr>
            <w:r w:rsidRPr="008E2DD7">
              <w:rPr>
                <w:rFonts w:eastAsia="標楷體"/>
              </w:rPr>
              <w:t>99</w:t>
            </w:r>
            <w:r w:rsidRPr="008E2DD7">
              <w:rPr>
                <w:rFonts w:eastAsia="標楷體" w:hint="eastAsia"/>
              </w:rPr>
              <w:t>年</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1947FD">
            <w:pPr>
              <w:jc w:val="center"/>
              <w:rPr>
                <w:rFonts w:eastAsia="標楷體"/>
              </w:rPr>
            </w:pPr>
            <w:r w:rsidRPr="008E2DD7">
              <w:rPr>
                <w:rFonts w:eastAsia="標楷體"/>
              </w:rPr>
              <w:t>100</w:t>
            </w:r>
            <w:r w:rsidRPr="008E2DD7">
              <w:rPr>
                <w:rFonts w:eastAsia="標楷體" w:hint="eastAsia"/>
              </w:rPr>
              <w:t>年</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1947FD">
            <w:pPr>
              <w:jc w:val="center"/>
              <w:rPr>
                <w:rFonts w:eastAsia="標楷體"/>
              </w:rPr>
            </w:pPr>
            <w:r w:rsidRPr="008E2DD7">
              <w:rPr>
                <w:rFonts w:eastAsia="標楷體"/>
              </w:rPr>
              <w:t>101</w:t>
            </w:r>
            <w:r w:rsidRPr="008E2DD7">
              <w:rPr>
                <w:rFonts w:eastAsia="標楷體" w:hint="eastAsia"/>
              </w:rPr>
              <w:t>年</w:t>
            </w:r>
          </w:p>
        </w:tc>
        <w:tc>
          <w:tcPr>
            <w:tcW w:w="808" w:type="pct"/>
            <w:tcBorders>
              <w:top w:val="single" w:sz="6" w:space="0" w:color="auto"/>
              <w:left w:val="single" w:sz="6" w:space="0" w:color="auto"/>
              <w:bottom w:val="single" w:sz="6" w:space="0" w:color="auto"/>
              <w:right w:val="single" w:sz="12" w:space="0" w:color="auto"/>
            </w:tcBorders>
            <w:vAlign w:val="center"/>
          </w:tcPr>
          <w:p w:rsidR="00415792" w:rsidRPr="008E2DD7" w:rsidRDefault="00415792" w:rsidP="001947FD">
            <w:pPr>
              <w:jc w:val="center"/>
              <w:rPr>
                <w:rFonts w:eastAsia="標楷體"/>
              </w:rPr>
            </w:pPr>
            <w:r w:rsidRPr="008E2DD7">
              <w:rPr>
                <w:rFonts w:eastAsia="標楷體"/>
              </w:rPr>
              <w:t>102</w:t>
            </w:r>
            <w:r w:rsidRPr="008E2DD7">
              <w:rPr>
                <w:rFonts w:eastAsia="標楷體" w:hint="eastAsia"/>
              </w:rPr>
              <w:t>年</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流動資產</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1947FD">
            <w:pPr>
              <w:spacing w:line="300" w:lineRule="exact"/>
              <w:jc w:val="right"/>
              <w:rPr>
                <w:rFonts w:eastAsia="標楷體"/>
              </w:rPr>
            </w:pPr>
            <w:r w:rsidRPr="008E2DD7">
              <w:rPr>
                <w:rFonts w:eastAsia="標楷體"/>
              </w:rPr>
              <w:t>130,657</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1947FD">
            <w:pPr>
              <w:spacing w:line="300" w:lineRule="exact"/>
              <w:jc w:val="right"/>
              <w:rPr>
                <w:rFonts w:eastAsia="標楷體"/>
              </w:rPr>
            </w:pPr>
            <w:r w:rsidRPr="008E2DD7">
              <w:rPr>
                <w:rFonts w:eastAsia="標楷體"/>
              </w:rPr>
              <w:t>267,446</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1947FD">
            <w:pPr>
              <w:spacing w:line="300" w:lineRule="exact"/>
              <w:jc w:val="right"/>
              <w:rPr>
                <w:rFonts w:eastAsia="標楷體"/>
              </w:rPr>
            </w:pPr>
            <w:r w:rsidRPr="008E2DD7">
              <w:rPr>
                <w:rFonts w:eastAsia="標楷體"/>
              </w:rPr>
              <w:t>1,835,107</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1947FD">
            <w:pPr>
              <w:spacing w:line="300" w:lineRule="exact"/>
              <w:jc w:val="right"/>
              <w:rPr>
                <w:rFonts w:eastAsia="標楷體"/>
              </w:rPr>
            </w:pPr>
            <w:r w:rsidRPr="008E2DD7">
              <w:rPr>
                <w:rFonts w:eastAsia="標楷體"/>
              </w:rPr>
              <w:t>1,721,216</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基金及長期投資</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34,424</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42,716</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17,731</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15,000</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固定資產</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1,443</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5,806</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7,449</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6,287</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無形資產</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0</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0</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6,318,504</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6,339,600</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其他資產</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67,163</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69,716</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11,380</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8,491</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資產總額</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233,687</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385,684</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8,190,171</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8,090,594</w:t>
            </w:r>
          </w:p>
        </w:tc>
      </w:tr>
      <w:tr w:rsidR="00415792" w:rsidRPr="008E2DD7" w:rsidTr="001947FD">
        <w:tc>
          <w:tcPr>
            <w:tcW w:w="1214" w:type="pct"/>
            <w:vMerge w:val="restart"/>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流動</w:t>
            </w:r>
          </w:p>
          <w:p w:rsidR="00415792" w:rsidRPr="008E2DD7" w:rsidRDefault="00415792" w:rsidP="001947FD">
            <w:pPr>
              <w:jc w:val="distribute"/>
              <w:rPr>
                <w:rFonts w:eastAsia="標楷體"/>
              </w:rPr>
            </w:pPr>
            <w:r w:rsidRPr="008E2DD7">
              <w:rPr>
                <w:rFonts w:eastAsia="標楷體" w:hint="eastAsia"/>
              </w:rPr>
              <w:t>負債</w:t>
            </w:r>
          </w:p>
        </w:tc>
        <w:tc>
          <w:tcPr>
            <w:tcW w:w="483"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pStyle w:val="Date"/>
              <w:adjustRightInd/>
              <w:snapToGrid/>
              <w:spacing w:line="240" w:lineRule="auto"/>
              <w:textAlignment w:val="auto"/>
              <w:rPr>
                <w:rFonts w:eastAsia="標楷體"/>
                <w:kern w:val="2"/>
              </w:rPr>
            </w:pPr>
            <w:r w:rsidRPr="008E2DD7">
              <w:rPr>
                <w:rFonts w:eastAsia="標楷體" w:hint="eastAsia"/>
                <w:kern w:val="2"/>
              </w:rPr>
              <w:t>分</w:t>
            </w:r>
            <w:r w:rsidRPr="008E2DD7">
              <w:rPr>
                <w:rFonts w:eastAsia="標楷體"/>
                <w:kern w:val="2"/>
              </w:rPr>
              <w:t xml:space="preserve"> </w:t>
            </w:r>
            <w:r w:rsidRPr="008E2DD7">
              <w:rPr>
                <w:rFonts w:eastAsia="標楷體" w:hint="eastAsia"/>
                <w:kern w:val="2"/>
              </w:rPr>
              <w:t>配</w:t>
            </w:r>
            <w:r w:rsidRPr="008E2DD7">
              <w:rPr>
                <w:rFonts w:eastAsia="標楷體"/>
                <w:kern w:val="2"/>
              </w:rPr>
              <w:t xml:space="preserve"> </w:t>
            </w:r>
            <w:r w:rsidRPr="008E2DD7">
              <w:rPr>
                <w:rFonts w:eastAsia="標楷體" w:hint="eastAsia"/>
                <w:kern w:val="2"/>
              </w:rPr>
              <w:t>前</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126,793</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248,698</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978,029</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681,230</w:t>
            </w:r>
          </w:p>
        </w:tc>
      </w:tr>
      <w:tr w:rsidR="00415792" w:rsidRPr="008E2DD7" w:rsidTr="001947FD">
        <w:tc>
          <w:tcPr>
            <w:tcW w:w="1214" w:type="pct"/>
            <w:vMerge/>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p>
        </w:tc>
        <w:tc>
          <w:tcPr>
            <w:tcW w:w="483"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jc w:val="right"/>
              <w:rPr>
                <w:rFonts w:eastAsia="標楷體"/>
              </w:rPr>
            </w:pPr>
            <w:r w:rsidRPr="008E2DD7">
              <w:rPr>
                <w:rFonts w:eastAsia="標楷體" w:hint="eastAsia"/>
              </w:rPr>
              <w:t>分</w:t>
            </w:r>
            <w:r w:rsidRPr="008E2DD7">
              <w:rPr>
                <w:rFonts w:eastAsia="標楷體"/>
              </w:rPr>
              <w:t xml:space="preserve"> </w:t>
            </w:r>
            <w:r w:rsidRPr="008E2DD7">
              <w:rPr>
                <w:rFonts w:eastAsia="標楷體" w:hint="eastAsia"/>
              </w:rPr>
              <w:t>配</w:t>
            </w:r>
            <w:r w:rsidRPr="008E2DD7">
              <w:rPr>
                <w:rFonts w:eastAsia="標楷體"/>
              </w:rPr>
              <w:t xml:space="preserve"> </w:t>
            </w:r>
            <w:r w:rsidRPr="008E2DD7">
              <w:rPr>
                <w:rFonts w:eastAsia="標楷體" w:hint="eastAsia"/>
              </w:rPr>
              <w:t>後</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138,793</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260,698</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978,029</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1,064,518</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長期負債</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0</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0</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3,243,966</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3,025,964</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其他負債</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0</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239</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0</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3,434</w:t>
            </w:r>
          </w:p>
        </w:tc>
      </w:tr>
      <w:tr w:rsidR="00415792" w:rsidRPr="008E2DD7" w:rsidTr="001947FD">
        <w:tc>
          <w:tcPr>
            <w:tcW w:w="1214" w:type="pct"/>
            <w:vMerge w:val="restart"/>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負債</w:t>
            </w:r>
          </w:p>
          <w:p w:rsidR="00415792" w:rsidRPr="008E2DD7" w:rsidRDefault="00415792" w:rsidP="001947FD">
            <w:pPr>
              <w:jc w:val="distribute"/>
              <w:rPr>
                <w:rFonts w:eastAsia="標楷體"/>
              </w:rPr>
            </w:pPr>
            <w:r w:rsidRPr="008E2DD7">
              <w:rPr>
                <w:rFonts w:eastAsia="標楷體" w:hint="eastAsia"/>
              </w:rPr>
              <w:t>總額</w:t>
            </w:r>
          </w:p>
        </w:tc>
        <w:tc>
          <w:tcPr>
            <w:tcW w:w="483"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pStyle w:val="Date"/>
              <w:adjustRightInd/>
              <w:snapToGrid/>
              <w:spacing w:line="240" w:lineRule="auto"/>
              <w:textAlignment w:val="auto"/>
              <w:rPr>
                <w:rFonts w:eastAsia="標楷體"/>
                <w:kern w:val="2"/>
              </w:rPr>
            </w:pPr>
            <w:r w:rsidRPr="008E2DD7">
              <w:rPr>
                <w:rFonts w:eastAsia="標楷體" w:hint="eastAsia"/>
                <w:kern w:val="2"/>
              </w:rPr>
              <w:t>分</w:t>
            </w:r>
            <w:r w:rsidRPr="008E2DD7">
              <w:rPr>
                <w:rFonts w:eastAsia="標楷體"/>
                <w:kern w:val="2"/>
              </w:rPr>
              <w:t xml:space="preserve"> </w:t>
            </w:r>
            <w:r w:rsidRPr="008E2DD7">
              <w:rPr>
                <w:rFonts w:eastAsia="標楷體" w:hint="eastAsia"/>
                <w:kern w:val="2"/>
              </w:rPr>
              <w:t>配</w:t>
            </w:r>
            <w:r w:rsidRPr="008E2DD7">
              <w:rPr>
                <w:rFonts w:eastAsia="標楷體"/>
                <w:kern w:val="2"/>
              </w:rPr>
              <w:t xml:space="preserve"> </w:t>
            </w:r>
            <w:r w:rsidRPr="008E2DD7">
              <w:rPr>
                <w:rFonts w:eastAsia="標楷體" w:hint="eastAsia"/>
                <w:kern w:val="2"/>
              </w:rPr>
              <w:t>前</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126,793</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248,937</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4,221,995</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3,710,628</w:t>
            </w:r>
          </w:p>
        </w:tc>
      </w:tr>
      <w:tr w:rsidR="00415792" w:rsidRPr="008E2DD7" w:rsidTr="001947FD">
        <w:tc>
          <w:tcPr>
            <w:tcW w:w="1214" w:type="pct"/>
            <w:vMerge/>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p>
        </w:tc>
        <w:tc>
          <w:tcPr>
            <w:tcW w:w="483"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jc w:val="right"/>
              <w:rPr>
                <w:rFonts w:eastAsia="標楷體"/>
              </w:rPr>
            </w:pPr>
            <w:r w:rsidRPr="008E2DD7">
              <w:rPr>
                <w:rFonts w:eastAsia="標楷體" w:hint="eastAsia"/>
              </w:rPr>
              <w:t>分</w:t>
            </w:r>
            <w:r w:rsidRPr="008E2DD7">
              <w:rPr>
                <w:rFonts w:eastAsia="標楷體"/>
              </w:rPr>
              <w:t xml:space="preserve"> </w:t>
            </w:r>
            <w:r w:rsidRPr="008E2DD7">
              <w:rPr>
                <w:rFonts w:eastAsia="標楷體" w:hint="eastAsia"/>
              </w:rPr>
              <w:t>配</w:t>
            </w:r>
            <w:r w:rsidRPr="008E2DD7">
              <w:rPr>
                <w:rFonts w:eastAsia="標楷體"/>
              </w:rPr>
              <w:t xml:space="preserve"> </w:t>
            </w:r>
            <w:r w:rsidRPr="008E2DD7">
              <w:rPr>
                <w:rFonts w:eastAsia="標楷體" w:hint="eastAsia"/>
              </w:rPr>
              <w:t>後</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138,793</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260,937</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4,221,995</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4,093,916</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股本</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60,000</w:t>
            </w:r>
          </w:p>
        </w:tc>
        <w:tc>
          <w:tcPr>
            <w:tcW w:w="672"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jc w:val="right"/>
              <w:rPr>
                <w:rFonts w:eastAsia="標楷體"/>
              </w:rPr>
            </w:pPr>
            <w:r w:rsidRPr="008E2DD7">
              <w:rPr>
                <w:rFonts w:eastAsia="標楷體"/>
              </w:rPr>
              <w:t>88,000</w:t>
            </w:r>
          </w:p>
        </w:tc>
        <w:tc>
          <w:tcPr>
            <w:tcW w:w="808"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jc w:val="right"/>
              <w:rPr>
                <w:rFonts w:eastAsia="標楷體"/>
              </w:rPr>
            </w:pPr>
            <w:r w:rsidRPr="008E2DD7">
              <w:rPr>
                <w:rFonts w:eastAsia="標楷體"/>
              </w:rPr>
              <w:t>88,000</w:t>
            </w:r>
          </w:p>
        </w:tc>
        <w:tc>
          <w:tcPr>
            <w:tcW w:w="808" w:type="pct"/>
            <w:tcBorders>
              <w:top w:val="single" w:sz="6" w:space="0" w:color="auto"/>
              <w:bottom w:val="single" w:sz="6" w:space="0" w:color="auto"/>
              <w:right w:val="single" w:sz="12" w:space="0" w:color="auto"/>
            </w:tcBorders>
          </w:tcPr>
          <w:p w:rsidR="00415792" w:rsidRPr="008E2DD7" w:rsidRDefault="00415792" w:rsidP="001947FD">
            <w:pPr>
              <w:jc w:val="right"/>
              <w:rPr>
                <w:rFonts w:eastAsia="標楷體"/>
              </w:rPr>
            </w:pPr>
            <w:r w:rsidRPr="008E2DD7">
              <w:rPr>
                <w:rFonts w:eastAsia="標楷體"/>
              </w:rPr>
              <w:t>1,029,718</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資本公積</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2,427,366</w:t>
            </w:r>
          </w:p>
        </w:tc>
      </w:tr>
      <w:tr w:rsidR="00415792" w:rsidRPr="008E2DD7" w:rsidTr="001947FD">
        <w:tc>
          <w:tcPr>
            <w:tcW w:w="1214" w:type="pct"/>
            <w:vMerge w:val="restart"/>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保留</w:t>
            </w:r>
          </w:p>
          <w:p w:rsidR="00415792" w:rsidRPr="008E2DD7" w:rsidRDefault="00415792" w:rsidP="001947FD">
            <w:pPr>
              <w:jc w:val="distribute"/>
              <w:rPr>
                <w:rFonts w:eastAsia="標楷體"/>
              </w:rPr>
            </w:pPr>
            <w:r w:rsidRPr="008E2DD7">
              <w:rPr>
                <w:rFonts w:eastAsia="標楷體" w:hint="eastAsia"/>
              </w:rPr>
              <w:t>盈餘</w:t>
            </w:r>
          </w:p>
        </w:tc>
        <w:tc>
          <w:tcPr>
            <w:tcW w:w="483"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pStyle w:val="Date"/>
              <w:adjustRightInd/>
              <w:snapToGrid/>
              <w:spacing w:line="240" w:lineRule="auto"/>
              <w:textAlignment w:val="auto"/>
              <w:rPr>
                <w:rFonts w:eastAsia="標楷體"/>
                <w:kern w:val="2"/>
              </w:rPr>
            </w:pPr>
            <w:r w:rsidRPr="008E2DD7">
              <w:rPr>
                <w:rFonts w:eastAsia="標楷體" w:hint="eastAsia"/>
                <w:kern w:val="2"/>
              </w:rPr>
              <w:t>分</w:t>
            </w:r>
            <w:r w:rsidRPr="008E2DD7">
              <w:rPr>
                <w:rFonts w:eastAsia="標楷體"/>
                <w:kern w:val="2"/>
              </w:rPr>
              <w:t xml:space="preserve"> </w:t>
            </w:r>
            <w:r w:rsidRPr="008E2DD7">
              <w:rPr>
                <w:rFonts w:eastAsia="標楷體" w:hint="eastAsia"/>
                <w:kern w:val="2"/>
              </w:rPr>
              <w:t>配</w:t>
            </w:r>
            <w:r w:rsidRPr="008E2DD7">
              <w:rPr>
                <w:rFonts w:eastAsia="標楷體"/>
                <w:kern w:val="2"/>
              </w:rPr>
              <w:t xml:space="preserve"> </w:t>
            </w:r>
            <w:r w:rsidRPr="008E2DD7">
              <w:rPr>
                <w:rFonts w:eastAsia="標楷體" w:hint="eastAsia"/>
                <w:kern w:val="2"/>
              </w:rPr>
              <w:t>前</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46,894</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48,747</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99,609</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146,792</w:t>
            </w:r>
          </w:p>
        </w:tc>
      </w:tr>
      <w:tr w:rsidR="00415792" w:rsidRPr="008E2DD7" w:rsidTr="001947FD">
        <w:tc>
          <w:tcPr>
            <w:tcW w:w="1214" w:type="pct"/>
            <w:vMerge/>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p>
        </w:tc>
        <w:tc>
          <w:tcPr>
            <w:tcW w:w="483"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jc w:val="right"/>
              <w:rPr>
                <w:rFonts w:eastAsia="標楷體"/>
              </w:rPr>
            </w:pPr>
            <w:r w:rsidRPr="008E2DD7">
              <w:rPr>
                <w:rFonts w:eastAsia="標楷體" w:hint="eastAsia"/>
              </w:rPr>
              <w:t>分</w:t>
            </w:r>
            <w:r w:rsidRPr="008E2DD7">
              <w:rPr>
                <w:rFonts w:eastAsia="標楷體"/>
              </w:rPr>
              <w:t xml:space="preserve"> </w:t>
            </w:r>
            <w:r w:rsidRPr="008E2DD7">
              <w:rPr>
                <w:rFonts w:eastAsia="標楷體" w:hint="eastAsia"/>
              </w:rPr>
              <w:t>配</w:t>
            </w:r>
            <w:r w:rsidRPr="008E2DD7">
              <w:rPr>
                <w:rFonts w:eastAsia="標楷體"/>
              </w:rPr>
              <w:t xml:space="preserve"> </w:t>
            </w:r>
            <w:r w:rsidRPr="008E2DD7">
              <w:rPr>
                <w:rFonts w:eastAsia="標楷體" w:hint="eastAsia"/>
              </w:rPr>
              <w:t>後</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6,894</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36,747</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47,609</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26,833</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rPr>
                <w:rFonts w:eastAsia="標楷體"/>
              </w:rPr>
            </w:pPr>
            <w:r w:rsidRPr="008E2DD7">
              <w:rPr>
                <w:rFonts w:eastAsia="標楷體" w:hint="eastAsia"/>
              </w:rPr>
              <w:t>共同控制下前手權益</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3,033,910</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合併前非屬共同控制股權</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5,1840</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r>
      <w:tr w:rsidR="00415792" w:rsidRPr="008E2DD7" w:rsidTr="001947FD">
        <w:tc>
          <w:tcPr>
            <w:tcW w:w="1696" w:type="pct"/>
            <w:gridSpan w:val="2"/>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少數股權</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0</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694,817</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776,090</w:t>
            </w:r>
          </w:p>
        </w:tc>
      </w:tr>
      <w:tr w:rsidR="00415792" w:rsidRPr="008E2DD7" w:rsidTr="001947FD">
        <w:tc>
          <w:tcPr>
            <w:tcW w:w="1214" w:type="pct"/>
            <w:vMerge w:val="restart"/>
            <w:tcBorders>
              <w:top w:val="single" w:sz="6" w:space="0" w:color="auto"/>
              <w:left w:val="single" w:sz="12" w:space="0" w:color="auto"/>
              <w:bottom w:val="single" w:sz="6" w:space="0" w:color="auto"/>
              <w:right w:val="single" w:sz="6" w:space="0" w:color="auto"/>
            </w:tcBorders>
            <w:vAlign w:val="center"/>
          </w:tcPr>
          <w:p w:rsidR="00415792" w:rsidRPr="008E2DD7" w:rsidRDefault="00415792" w:rsidP="001947FD">
            <w:pPr>
              <w:jc w:val="distribute"/>
              <w:rPr>
                <w:rFonts w:eastAsia="標楷體"/>
              </w:rPr>
            </w:pPr>
            <w:r w:rsidRPr="008E2DD7">
              <w:rPr>
                <w:rFonts w:eastAsia="標楷體" w:hint="eastAsia"/>
              </w:rPr>
              <w:t>股東權益總額</w:t>
            </w:r>
          </w:p>
        </w:tc>
        <w:tc>
          <w:tcPr>
            <w:tcW w:w="483" w:type="pct"/>
            <w:tcBorders>
              <w:top w:val="single" w:sz="6" w:space="0" w:color="auto"/>
              <w:left w:val="single" w:sz="6" w:space="0" w:color="auto"/>
              <w:bottom w:val="single" w:sz="6" w:space="0" w:color="auto"/>
              <w:right w:val="single" w:sz="6" w:space="0" w:color="auto"/>
            </w:tcBorders>
          </w:tcPr>
          <w:p w:rsidR="00415792" w:rsidRPr="008E2DD7" w:rsidRDefault="00415792" w:rsidP="001947FD">
            <w:pPr>
              <w:pStyle w:val="Date"/>
              <w:adjustRightInd/>
              <w:snapToGrid/>
              <w:spacing w:line="240" w:lineRule="auto"/>
              <w:textAlignment w:val="auto"/>
              <w:rPr>
                <w:rFonts w:eastAsia="標楷體"/>
                <w:kern w:val="2"/>
              </w:rPr>
            </w:pPr>
            <w:r w:rsidRPr="008E2DD7">
              <w:rPr>
                <w:rFonts w:eastAsia="標楷體" w:hint="eastAsia"/>
                <w:kern w:val="2"/>
              </w:rPr>
              <w:t>分</w:t>
            </w:r>
            <w:r w:rsidRPr="008E2DD7">
              <w:rPr>
                <w:rFonts w:eastAsia="標楷體"/>
                <w:kern w:val="2"/>
              </w:rPr>
              <w:t xml:space="preserve"> </w:t>
            </w:r>
            <w:r w:rsidRPr="008E2DD7">
              <w:rPr>
                <w:rFonts w:eastAsia="標楷體" w:hint="eastAsia"/>
                <w:kern w:val="2"/>
              </w:rPr>
              <w:t>配</w:t>
            </w:r>
            <w:r w:rsidRPr="008E2DD7">
              <w:rPr>
                <w:rFonts w:eastAsia="標楷體"/>
                <w:kern w:val="2"/>
              </w:rPr>
              <w:t xml:space="preserve"> </w:t>
            </w:r>
            <w:r w:rsidRPr="008E2DD7">
              <w:rPr>
                <w:rFonts w:eastAsia="標楷體" w:hint="eastAsia"/>
                <w:kern w:val="2"/>
              </w:rPr>
              <w:t>前</w:t>
            </w:r>
          </w:p>
        </w:tc>
        <w:tc>
          <w:tcPr>
            <w:tcW w:w="1015"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106,894</w:t>
            </w:r>
          </w:p>
        </w:tc>
        <w:tc>
          <w:tcPr>
            <w:tcW w:w="672"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136,747</w:t>
            </w:r>
          </w:p>
        </w:tc>
        <w:tc>
          <w:tcPr>
            <w:tcW w:w="808" w:type="pct"/>
            <w:tcBorders>
              <w:top w:val="single" w:sz="6" w:space="0" w:color="auto"/>
              <w:left w:val="single" w:sz="6" w:space="0" w:color="auto"/>
              <w:bottom w:val="single" w:sz="6"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3,968,176</w:t>
            </w:r>
          </w:p>
        </w:tc>
        <w:tc>
          <w:tcPr>
            <w:tcW w:w="808" w:type="pct"/>
            <w:tcBorders>
              <w:top w:val="single" w:sz="6" w:space="0" w:color="auto"/>
              <w:bottom w:val="single" w:sz="6"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color w:val="000000"/>
              </w:rPr>
            </w:pPr>
            <w:r w:rsidRPr="008E2DD7">
              <w:rPr>
                <w:rFonts w:eastAsia="標楷體"/>
                <w:color w:val="000000"/>
              </w:rPr>
              <w:t>4,379,966</w:t>
            </w:r>
          </w:p>
        </w:tc>
      </w:tr>
      <w:tr w:rsidR="00415792" w:rsidRPr="008E2DD7" w:rsidTr="001947FD">
        <w:tc>
          <w:tcPr>
            <w:tcW w:w="1214" w:type="pct"/>
            <w:vMerge/>
            <w:tcBorders>
              <w:top w:val="single" w:sz="6" w:space="0" w:color="auto"/>
              <w:left w:val="single" w:sz="12" w:space="0" w:color="auto"/>
              <w:bottom w:val="single" w:sz="12" w:space="0" w:color="auto"/>
              <w:right w:val="single" w:sz="6" w:space="0" w:color="auto"/>
            </w:tcBorders>
            <w:vAlign w:val="center"/>
          </w:tcPr>
          <w:p w:rsidR="00415792" w:rsidRPr="008E2DD7" w:rsidRDefault="00415792" w:rsidP="001947FD">
            <w:pPr>
              <w:jc w:val="distribute"/>
              <w:rPr>
                <w:rFonts w:eastAsia="標楷體"/>
              </w:rPr>
            </w:pPr>
          </w:p>
        </w:tc>
        <w:tc>
          <w:tcPr>
            <w:tcW w:w="483" w:type="pct"/>
            <w:tcBorders>
              <w:top w:val="single" w:sz="6" w:space="0" w:color="auto"/>
              <w:left w:val="single" w:sz="6" w:space="0" w:color="auto"/>
              <w:bottom w:val="single" w:sz="12" w:space="0" w:color="auto"/>
              <w:right w:val="single" w:sz="6" w:space="0" w:color="auto"/>
            </w:tcBorders>
          </w:tcPr>
          <w:p w:rsidR="00415792" w:rsidRPr="008E2DD7" w:rsidRDefault="00415792" w:rsidP="001947FD">
            <w:pPr>
              <w:jc w:val="right"/>
              <w:rPr>
                <w:rFonts w:eastAsia="標楷體"/>
              </w:rPr>
            </w:pPr>
            <w:r w:rsidRPr="008E2DD7">
              <w:rPr>
                <w:rFonts w:eastAsia="標楷體" w:hint="eastAsia"/>
              </w:rPr>
              <w:t>分</w:t>
            </w:r>
            <w:r w:rsidRPr="008E2DD7">
              <w:rPr>
                <w:rFonts w:eastAsia="標楷體"/>
              </w:rPr>
              <w:t xml:space="preserve"> </w:t>
            </w:r>
            <w:r w:rsidRPr="008E2DD7">
              <w:rPr>
                <w:rFonts w:eastAsia="標楷體" w:hint="eastAsia"/>
              </w:rPr>
              <w:t>配</w:t>
            </w:r>
            <w:r w:rsidRPr="008E2DD7">
              <w:rPr>
                <w:rFonts w:eastAsia="標楷體"/>
              </w:rPr>
              <w:t xml:space="preserve"> </w:t>
            </w:r>
            <w:r w:rsidRPr="008E2DD7">
              <w:rPr>
                <w:rFonts w:eastAsia="標楷體" w:hint="eastAsia"/>
              </w:rPr>
              <w:t>後</w:t>
            </w:r>
          </w:p>
        </w:tc>
        <w:tc>
          <w:tcPr>
            <w:tcW w:w="1015" w:type="pct"/>
            <w:tcBorders>
              <w:top w:val="single" w:sz="6" w:space="0" w:color="auto"/>
              <w:left w:val="single" w:sz="6" w:space="0" w:color="auto"/>
              <w:bottom w:val="single" w:sz="12"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94,894</w:t>
            </w:r>
          </w:p>
        </w:tc>
        <w:tc>
          <w:tcPr>
            <w:tcW w:w="672" w:type="pct"/>
            <w:tcBorders>
              <w:top w:val="single" w:sz="6" w:space="0" w:color="auto"/>
              <w:left w:val="single" w:sz="6" w:space="0" w:color="auto"/>
              <w:bottom w:val="single" w:sz="12"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124,747</w:t>
            </w:r>
          </w:p>
        </w:tc>
        <w:tc>
          <w:tcPr>
            <w:tcW w:w="808" w:type="pct"/>
            <w:tcBorders>
              <w:top w:val="single" w:sz="6" w:space="0" w:color="auto"/>
              <w:left w:val="single" w:sz="6" w:space="0" w:color="auto"/>
              <w:bottom w:val="single" w:sz="12" w:space="0" w:color="auto"/>
              <w:right w:val="single" w:sz="6"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3,968,176</w:t>
            </w:r>
          </w:p>
        </w:tc>
        <w:tc>
          <w:tcPr>
            <w:tcW w:w="808" w:type="pct"/>
            <w:tcBorders>
              <w:top w:val="single" w:sz="6" w:space="0" w:color="auto"/>
              <w:bottom w:val="single" w:sz="12" w:space="0" w:color="auto"/>
              <w:right w:val="single" w:sz="12" w:space="0" w:color="auto"/>
            </w:tcBorders>
            <w:vAlign w:val="center"/>
          </w:tcPr>
          <w:p w:rsidR="00415792" w:rsidRPr="008E2DD7" w:rsidRDefault="00415792" w:rsidP="00415792">
            <w:pPr>
              <w:spacing w:line="300" w:lineRule="exact"/>
              <w:ind w:rightChars="22" w:right="31680"/>
              <w:jc w:val="right"/>
              <w:rPr>
                <w:rFonts w:eastAsia="標楷體"/>
              </w:rPr>
            </w:pPr>
            <w:r w:rsidRPr="008E2DD7">
              <w:rPr>
                <w:rFonts w:eastAsia="標楷體"/>
              </w:rPr>
              <w:t>3,996,678</w:t>
            </w:r>
          </w:p>
        </w:tc>
      </w:tr>
    </w:tbl>
    <w:p w:rsidR="00415792" w:rsidRPr="008E2DD7" w:rsidRDefault="00415792" w:rsidP="00415792">
      <w:pPr>
        <w:pStyle w:val="NormalWeb"/>
        <w:widowControl w:val="0"/>
        <w:spacing w:before="0" w:beforeAutospacing="0" w:after="0" w:afterAutospacing="0"/>
        <w:ind w:left="31680" w:hangingChars="262" w:firstLine="31680"/>
        <w:rPr>
          <w:rFonts w:ascii="Times New Roman" w:eastAsia="標楷體" w:hAnsi="Times New Roman" w:cs="Times New Roman"/>
          <w:b/>
        </w:rPr>
      </w:pPr>
      <w:r>
        <w:rPr>
          <w:noProof/>
        </w:rPr>
        <w:pict>
          <v:shape id="Text Box 97" o:spid="_x0000_s1037" type="#_x0000_t202" style="position:absolute;left:0;text-align:left;margin-left:0;margin-top:-.95pt;width:484.8pt;height:63pt;z-index:-251652608;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cLzAIAANUFAAAOAAAAZHJzL2Uyb0RvYy54bWysVF1v2yAUfZ+0/4B4T21HdhJbdaq2WaZJ&#10;3YfUTnsmGNtoGBiQ2N20/74LTlJv7cM0zZEIH/de7jn3cC+vhk6gAzOWK1ni5CLGiEmqKi6bEn9+&#10;2M5WGFlHZEWEkqzEj8ziq/XrV5e9LthctUpUzCAIIm3R6xK3zukiiixtWUfshdJMwmGtTEccLE0T&#10;VYb0EL0T0TyOF1GvTKWNosxa2N2Mh3gd4tc1o+5jXVvmkCgx5ObCaMK482O0viRFY4huOT2mQf4h&#10;i45wCZeeQ22II2hv+LNQHadGWVW7C6q6SNU1pyxgADRJ/Aea+5ZoFrAAOVafabL/Lyz9cPhkEK+g&#10;dlApSTqo0QMbHLpRA8qXnp9e2wLM7jUYugH2wTZgtfpO0a8WSXXbEtmwa2NU3zJSQX6J94wmrmMc&#10;64Ps+veqgnvI3qkQaKhN58kDOhBEhzo9nmvjc6GwuUiyRb6AIwpnqxjICsWLSHHy1sa6t0x1yE9K&#10;bKD2ITo53FnnsyHFyeRYqWrLhUBGuS/ctYHsE7TGgk+wskgrwBOPiE2zuxUGHQjI6c3G/wJOqLud&#10;WmcxfM89tuF70QPgvOjy7BJAcU5OcImA+BJn6eiOLCWC+WKeLjEkgPTJCelHqTzokY5xBxg+gvVc&#10;B9H+yJN5Gt/M89l2sVrO0m2azfJlvJrFSX4DVUjzdLP96QEmadHyqmLyjkt2ekBJ+ncCPT7lUfrh&#10;CaG+xHk2z0bulODn7O2U+oD2VH87Neu4g34ieBdE4ikFqKTwqnwjqzB3hItxHv2efpAIcHD6D6wE&#10;DXvZjgJ2w24IzyXzgb2+d6p6BFGDioJyoRfCpFXmO0Y99JUS2297YhhG4p0EIeVJmvpGFBZptpzD&#10;wkxPdtMTIimEKrHDUGg/vXVj89prw5sWbhqfolTX8JhqHnT+lNXxCULvCJiOfc43p+k6WD114/Uv&#10;AAAA//8DAFBLAwQUAAYACAAAACEApelwb98AAAAHAQAADwAAAGRycy9kb3ducmV2LnhtbEyPT0vD&#10;QBTE74LfYXmCt3aTUmITsylFaYt/EGwLXrfZZxLMvk2z2zR+e58nPQ4zzPwmX462FQP2vnGkIJ5G&#10;IJBKZxqqFBz268kChA+ajG4doYJv9LAsrq9ynRl3oXccdqESXEI+0wrqELpMSl/WaLWfug6JvU/X&#10;Wx1Y9pU0vb5wuW3lLIoSaXVDvFDrDh9qLL92Z6tgeNq+vayfEVeP9PG6P9jy7rRZKHV7M67uQQQc&#10;w18YfvEZHQpmOrozGS9aBXwkKJjEKQh20yRNQBw5NpvHIItc/ucvfgAAAP//AwBQSwECLQAUAAYA&#10;CAAAACEAtoM4kv4AAADhAQAAEwAAAAAAAAAAAAAAAAAAAAAAW0NvbnRlbnRfVHlwZXNdLnhtbFBL&#10;AQItABQABgAIAAAAIQA4/SH/1gAAAJQBAAALAAAAAAAAAAAAAAAAAC8BAABfcmVscy8ucmVsc1BL&#10;AQItABQABgAIAAAAIQC2WwcLzAIAANUFAAAOAAAAAAAAAAAAAAAAAC4CAABkcnMvZTJvRG9jLnht&#10;bFBLAQItABQABgAIAAAAIQCl6XBv3wAAAAcBAAAPAAAAAAAAAAAAAAAAACYFAABkcnMvZG93bnJl&#10;di54bWxQSwUGAAAAAAQABADzAAAAMgYAAAAA&#10;" fillcolor="#ededed" stroked="f">
            <v:fill rotate="t" focus="50%" type="gradient"/>
            <v:textbox>
              <w:txbxContent>
                <w:p w:rsidR="00415792" w:rsidRDefault="00415792" w:rsidP="00E57429"/>
              </w:txbxContent>
            </v:textbox>
            <w10:wrap anchorx="margin"/>
          </v:shape>
        </w:pict>
      </w:r>
      <w:r w:rsidRPr="008E2DD7">
        <w:rPr>
          <w:rFonts w:ascii="Times New Roman" w:eastAsia="標楷體" w:hAnsi="Times New Roman" w:cs="Times New Roman"/>
          <w:b/>
        </w:rPr>
        <w:br w:type="textWrapping" w:clear="all"/>
      </w:r>
    </w:p>
    <w:p w:rsidR="00415792" w:rsidRPr="008E2DD7" w:rsidRDefault="00415792" w:rsidP="00E1564B">
      <w:pPr>
        <w:pStyle w:val="NormalWeb"/>
        <w:widowControl w:val="0"/>
        <w:spacing w:before="0" w:beforeAutospacing="0" w:after="0" w:afterAutospacing="0"/>
        <w:ind w:left="31680" w:hangingChars="262"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62"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62"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62" w:firstLine="31680"/>
        <w:rPr>
          <w:rFonts w:ascii="Times New Roman" w:eastAsia="標楷體" w:hAnsi="Times New Roman" w:cs="Times New Roman"/>
          <w:b/>
        </w:rPr>
      </w:pPr>
    </w:p>
    <w:p w:rsidR="00415792" w:rsidRPr="008E2DD7" w:rsidRDefault="00415792" w:rsidP="00E1564B">
      <w:pPr>
        <w:pStyle w:val="NormalWeb"/>
        <w:widowControl w:val="0"/>
        <w:spacing w:before="0" w:beforeAutospacing="0" w:after="0" w:afterAutospacing="0"/>
        <w:ind w:left="31680" w:hangingChars="262" w:firstLine="31680"/>
        <w:rPr>
          <w:rFonts w:ascii="Times New Roman" w:eastAsia="標楷體" w:hAnsi="Times New Roman" w:cs="Times New Roman"/>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116"/>
        <w:gridCol w:w="1593"/>
        <w:gridCol w:w="2551"/>
      </w:tblGrid>
      <w:tr w:rsidR="00415792" w:rsidRPr="008E2DD7" w:rsidTr="001947FD">
        <w:trPr>
          <w:cantSplit/>
          <w:trHeight w:hRule="exact" w:val="680"/>
        </w:trPr>
        <w:tc>
          <w:tcPr>
            <w:tcW w:w="2709" w:type="dxa"/>
            <w:gridSpan w:val="2"/>
            <w:vMerge w:val="restart"/>
            <w:tcBorders>
              <w:top w:val="single" w:sz="12" w:space="0" w:color="auto"/>
              <w:bottom w:val="single" w:sz="4" w:space="0" w:color="auto"/>
              <w:right w:val="single" w:sz="4" w:space="0" w:color="auto"/>
              <w:tl2br w:val="single" w:sz="4" w:space="0" w:color="auto"/>
            </w:tcBorders>
            <w:vAlign w:val="center"/>
          </w:tcPr>
          <w:p w:rsidR="00415792" w:rsidRPr="008E2DD7" w:rsidRDefault="00415792" w:rsidP="002874A9">
            <w:pPr>
              <w:ind w:left="57" w:right="57"/>
              <w:jc w:val="right"/>
              <w:rPr>
                <w:rFonts w:eastAsia="標楷體"/>
                <w:snapToGrid w:val="0"/>
                <w:kern w:val="0"/>
              </w:rPr>
            </w:pPr>
            <w:r w:rsidRPr="008E2DD7">
              <w:rPr>
                <w:rFonts w:eastAsia="標楷體"/>
                <w:snapToGrid w:val="0"/>
                <w:kern w:val="0"/>
              </w:rPr>
              <w:tab/>
            </w:r>
            <w:r w:rsidRPr="008E2DD7">
              <w:rPr>
                <w:rFonts w:eastAsia="標楷體" w:hint="eastAsia"/>
                <w:snapToGrid w:val="0"/>
                <w:kern w:val="0"/>
              </w:rPr>
              <w:t>年度</w:t>
            </w:r>
          </w:p>
          <w:p w:rsidR="00415792" w:rsidRPr="008E2DD7" w:rsidRDefault="00415792" w:rsidP="002874A9">
            <w:pPr>
              <w:ind w:left="57" w:right="57"/>
              <w:jc w:val="center"/>
              <w:rPr>
                <w:rFonts w:eastAsia="標楷體"/>
                <w:snapToGrid w:val="0"/>
                <w:kern w:val="0"/>
              </w:rPr>
            </w:pPr>
          </w:p>
          <w:p w:rsidR="00415792" w:rsidRPr="008E2DD7" w:rsidRDefault="00415792" w:rsidP="002874A9">
            <w:pPr>
              <w:ind w:left="57" w:right="57"/>
              <w:rPr>
                <w:rFonts w:eastAsia="標楷體"/>
                <w:snapToGrid w:val="0"/>
                <w:kern w:val="0"/>
              </w:rPr>
            </w:pPr>
            <w:r w:rsidRPr="008E2DD7">
              <w:rPr>
                <w:rFonts w:eastAsia="標楷體" w:hint="eastAsia"/>
                <w:snapToGrid w:val="0"/>
                <w:kern w:val="0"/>
              </w:rPr>
              <w:t>項目</w:t>
            </w:r>
          </w:p>
        </w:tc>
        <w:tc>
          <w:tcPr>
            <w:tcW w:w="2551" w:type="dxa"/>
            <w:vMerge w:val="restart"/>
            <w:tcBorders>
              <w:top w:val="single" w:sz="12" w:space="0" w:color="auto"/>
              <w:left w:val="single" w:sz="4" w:space="0" w:color="auto"/>
            </w:tcBorders>
            <w:vAlign w:val="center"/>
          </w:tcPr>
          <w:p w:rsidR="00415792" w:rsidRPr="008E2DD7" w:rsidRDefault="00415792" w:rsidP="00F033F5">
            <w:pPr>
              <w:jc w:val="center"/>
              <w:rPr>
                <w:rFonts w:eastAsia="標楷體"/>
                <w:snapToGrid w:val="0"/>
                <w:kern w:val="0"/>
              </w:rPr>
            </w:pPr>
            <w:r w:rsidRPr="008E2DD7">
              <w:rPr>
                <w:rFonts w:eastAsia="標楷體"/>
                <w:snapToGrid w:val="0"/>
                <w:kern w:val="0"/>
              </w:rPr>
              <w:t>103</w:t>
            </w:r>
            <w:r w:rsidRPr="008E2DD7">
              <w:rPr>
                <w:rFonts w:eastAsia="標楷體" w:hint="eastAsia"/>
                <w:snapToGrid w:val="0"/>
                <w:kern w:val="0"/>
              </w:rPr>
              <w:t>年度</w:t>
            </w:r>
            <w:r w:rsidRPr="008E2DD7">
              <w:rPr>
                <w:rFonts w:eastAsia="標楷體"/>
                <w:snapToGrid w:val="0"/>
                <w:kern w:val="0"/>
              </w:rPr>
              <w:br/>
              <w:t>(</w:t>
            </w:r>
            <w:r w:rsidRPr="008E2DD7">
              <w:rPr>
                <w:rFonts w:eastAsia="標楷體" w:hint="eastAsia"/>
                <w:snapToGrid w:val="0"/>
                <w:kern w:val="0"/>
              </w:rPr>
              <w:t>自結數</w:t>
            </w:r>
            <w:r w:rsidRPr="008E2DD7">
              <w:rPr>
                <w:rFonts w:eastAsia="標楷體"/>
                <w:snapToGrid w:val="0"/>
                <w:kern w:val="0"/>
              </w:rPr>
              <w:t>)</w:t>
            </w:r>
          </w:p>
          <w:p w:rsidR="00415792" w:rsidRPr="008E2DD7" w:rsidRDefault="00415792" w:rsidP="00F033F5">
            <w:pPr>
              <w:jc w:val="center"/>
              <w:rPr>
                <w:rFonts w:eastAsia="標楷體"/>
                <w:snapToGrid w:val="0"/>
                <w:kern w:val="0"/>
              </w:rPr>
            </w:pPr>
            <w:r w:rsidRPr="008E2DD7">
              <w:rPr>
                <w:rFonts w:eastAsia="標楷體"/>
                <w:snapToGrid w:val="0"/>
                <w:kern w:val="0"/>
              </w:rPr>
              <w:t>(</w:t>
            </w:r>
            <w:r w:rsidRPr="008E2DD7">
              <w:rPr>
                <w:rFonts w:eastAsia="標楷體" w:hint="eastAsia"/>
                <w:snapToGrid w:val="0"/>
                <w:kern w:val="0"/>
              </w:rPr>
              <w:t>註</w:t>
            </w:r>
            <w:r w:rsidRPr="008E2DD7">
              <w:rPr>
                <w:rFonts w:eastAsia="標楷體"/>
                <w:snapToGrid w:val="0"/>
                <w:kern w:val="0"/>
              </w:rPr>
              <w:t>1)</w:t>
            </w:r>
          </w:p>
        </w:tc>
      </w:tr>
      <w:tr w:rsidR="00415792" w:rsidRPr="008E2DD7" w:rsidTr="001947FD">
        <w:trPr>
          <w:cantSplit/>
          <w:trHeight w:hRule="exact" w:val="397"/>
        </w:trPr>
        <w:tc>
          <w:tcPr>
            <w:tcW w:w="2709" w:type="dxa"/>
            <w:gridSpan w:val="2"/>
            <w:vMerge/>
            <w:tcBorders>
              <w:bottom w:val="single" w:sz="4" w:space="0" w:color="auto"/>
              <w:right w:val="single" w:sz="4" w:space="0" w:color="auto"/>
              <w:tl2br w:val="single" w:sz="4" w:space="0" w:color="auto"/>
            </w:tcBorders>
            <w:vAlign w:val="center"/>
          </w:tcPr>
          <w:p w:rsidR="00415792" w:rsidRPr="008E2DD7" w:rsidRDefault="00415792" w:rsidP="002874A9">
            <w:pPr>
              <w:ind w:left="57" w:right="57"/>
              <w:jc w:val="center"/>
              <w:rPr>
                <w:rFonts w:eastAsia="標楷體"/>
                <w:snapToGrid w:val="0"/>
                <w:kern w:val="0"/>
              </w:rPr>
            </w:pPr>
          </w:p>
        </w:tc>
        <w:tc>
          <w:tcPr>
            <w:tcW w:w="2551" w:type="dxa"/>
            <w:vMerge/>
            <w:tcBorders>
              <w:left w:val="single" w:sz="4" w:space="0" w:color="auto"/>
              <w:bottom w:val="single" w:sz="4" w:space="0" w:color="auto"/>
            </w:tcBorders>
            <w:vAlign w:val="center"/>
          </w:tcPr>
          <w:p w:rsidR="00415792" w:rsidRPr="008E2DD7" w:rsidRDefault="00415792" w:rsidP="002874A9">
            <w:pPr>
              <w:jc w:val="center"/>
              <w:rPr>
                <w:rFonts w:eastAsia="標楷體"/>
                <w:snapToGrid w:val="0"/>
                <w:kern w:val="0"/>
              </w:rPr>
            </w:pP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流動資產</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2,845,850</w:t>
            </w:r>
          </w:p>
        </w:tc>
      </w:tr>
      <w:tr w:rsidR="00415792" w:rsidRPr="008E2DD7" w:rsidTr="001947FD">
        <w:trPr>
          <w:trHeight w:hRule="exact" w:val="680"/>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以成本衡量之</w:t>
            </w:r>
            <w:r w:rsidRPr="008E2DD7">
              <w:rPr>
                <w:rFonts w:eastAsia="標楷體"/>
                <w:snapToGrid w:val="0"/>
                <w:kern w:val="0"/>
              </w:rPr>
              <w:br/>
            </w:r>
            <w:r w:rsidRPr="008E2DD7">
              <w:rPr>
                <w:rFonts w:eastAsia="標楷體" w:hint="eastAsia"/>
                <w:snapToGrid w:val="0"/>
                <w:kern w:val="0"/>
              </w:rPr>
              <w:t>金融資產－非流動</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15,000</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autoSpaceDN w:val="0"/>
              <w:ind w:left="57" w:right="57"/>
              <w:jc w:val="distribute"/>
              <w:rPr>
                <w:rFonts w:eastAsia="標楷體"/>
                <w:snapToGrid w:val="0"/>
                <w:spacing w:val="-8"/>
                <w:kern w:val="0"/>
              </w:rPr>
            </w:pPr>
            <w:r w:rsidRPr="008E2DD7">
              <w:rPr>
                <w:rFonts w:eastAsia="標楷體" w:hint="eastAsia"/>
                <w:snapToGrid w:val="0"/>
                <w:spacing w:val="-8"/>
                <w:kern w:val="0"/>
              </w:rPr>
              <w:t>不動產、廠房及設備</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6,440</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無形資產</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717,645</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其他資產</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5,642,567</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資產總額</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9,227,502</w:t>
            </w:r>
          </w:p>
        </w:tc>
      </w:tr>
      <w:tr w:rsidR="00415792" w:rsidRPr="008E2DD7" w:rsidTr="00E1564B">
        <w:trPr>
          <w:cantSplit/>
          <w:trHeight w:hRule="exact" w:val="454"/>
        </w:trPr>
        <w:tc>
          <w:tcPr>
            <w:tcW w:w="0" w:type="auto"/>
            <w:vMerge w:val="restart"/>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流動負債</w:t>
            </w:r>
          </w:p>
        </w:tc>
        <w:tc>
          <w:tcPr>
            <w:tcW w:w="1564"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分配前</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689,423</w:t>
            </w:r>
          </w:p>
        </w:tc>
      </w:tr>
      <w:tr w:rsidR="00415792" w:rsidRPr="008E2DD7" w:rsidTr="00E1564B">
        <w:trPr>
          <w:cantSplit/>
          <w:trHeight w:hRule="exact" w:val="454"/>
        </w:trPr>
        <w:tc>
          <w:tcPr>
            <w:tcW w:w="0" w:type="auto"/>
            <w:vMerge/>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p>
        </w:tc>
        <w:tc>
          <w:tcPr>
            <w:tcW w:w="1564"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分配後</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689,423</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非流動負債</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3,255,097</w:t>
            </w:r>
          </w:p>
        </w:tc>
      </w:tr>
      <w:tr w:rsidR="00415792" w:rsidRPr="008E2DD7" w:rsidTr="00E1564B">
        <w:trPr>
          <w:cantSplit/>
          <w:trHeight w:hRule="exact" w:val="454"/>
        </w:trPr>
        <w:tc>
          <w:tcPr>
            <w:tcW w:w="0" w:type="auto"/>
            <w:vMerge w:val="restart"/>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負債總額</w:t>
            </w:r>
          </w:p>
        </w:tc>
        <w:tc>
          <w:tcPr>
            <w:tcW w:w="1564"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分配前</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3,944,520</w:t>
            </w:r>
          </w:p>
        </w:tc>
      </w:tr>
      <w:tr w:rsidR="00415792" w:rsidRPr="008E2DD7" w:rsidTr="00E1564B">
        <w:trPr>
          <w:cantSplit/>
          <w:trHeight w:hRule="exact" w:val="454"/>
        </w:trPr>
        <w:tc>
          <w:tcPr>
            <w:tcW w:w="0" w:type="auto"/>
            <w:vMerge/>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p>
        </w:tc>
        <w:tc>
          <w:tcPr>
            <w:tcW w:w="1564"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分配後</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3,944,520</w:t>
            </w:r>
          </w:p>
        </w:tc>
      </w:tr>
      <w:tr w:rsidR="00415792" w:rsidRPr="008E2DD7" w:rsidTr="001947FD">
        <w:trPr>
          <w:trHeight w:hRule="exact" w:val="680"/>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歸屬於母公司</w:t>
            </w:r>
            <w:r w:rsidRPr="008E2DD7">
              <w:rPr>
                <w:rFonts w:eastAsia="標楷體"/>
                <w:snapToGrid w:val="0"/>
                <w:kern w:val="0"/>
              </w:rPr>
              <w:br/>
            </w:r>
            <w:r w:rsidRPr="008E2DD7">
              <w:rPr>
                <w:rFonts w:eastAsia="標楷體" w:hint="eastAsia"/>
                <w:snapToGrid w:val="0"/>
                <w:kern w:val="0"/>
              </w:rPr>
              <w:t>業主之權益</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4,456,526</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股本</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1,131,873</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資本公積</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2,999,692</w:t>
            </w:r>
          </w:p>
        </w:tc>
      </w:tr>
      <w:tr w:rsidR="00415792" w:rsidRPr="008E2DD7" w:rsidTr="00E1564B">
        <w:trPr>
          <w:cantSplit/>
          <w:trHeight w:hRule="exact" w:val="454"/>
        </w:trPr>
        <w:tc>
          <w:tcPr>
            <w:tcW w:w="0" w:type="auto"/>
            <w:vMerge w:val="restart"/>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保留盈餘</w:t>
            </w:r>
          </w:p>
        </w:tc>
        <w:tc>
          <w:tcPr>
            <w:tcW w:w="1564"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分配前</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324,961</w:t>
            </w:r>
          </w:p>
        </w:tc>
      </w:tr>
      <w:tr w:rsidR="00415792" w:rsidRPr="008E2DD7" w:rsidTr="00E1564B">
        <w:trPr>
          <w:cantSplit/>
          <w:trHeight w:hRule="exact" w:val="454"/>
        </w:trPr>
        <w:tc>
          <w:tcPr>
            <w:tcW w:w="0" w:type="auto"/>
            <w:vMerge/>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p>
        </w:tc>
        <w:tc>
          <w:tcPr>
            <w:tcW w:w="1564"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分配後</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324,961</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其他權益</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0</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庫藏股票</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0</w:t>
            </w:r>
          </w:p>
        </w:tc>
      </w:tr>
      <w:tr w:rsidR="00415792" w:rsidRPr="008E2DD7" w:rsidTr="001947FD">
        <w:trPr>
          <w:trHeight w:hRule="exact" w:val="454"/>
        </w:trPr>
        <w:tc>
          <w:tcPr>
            <w:tcW w:w="2709" w:type="dxa"/>
            <w:gridSpan w:val="2"/>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非控制權益</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826,456</w:t>
            </w:r>
          </w:p>
        </w:tc>
      </w:tr>
      <w:tr w:rsidR="00415792" w:rsidRPr="008E2DD7" w:rsidTr="00E1564B">
        <w:trPr>
          <w:cantSplit/>
          <w:trHeight w:hRule="exact" w:val="454"/>
        </w:trPr>
        <w:tc>
          <w:tcPr>
            <w:tcW w:w="0" w:type="auto"/>
            <w:vMerge w:val="restart"/>
            <w:tcBorders>
              <w:top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權益總額</w:t>
            </w:r>
          </w:p>
        </w:tc>
        <w:tc>
          <w:tcPr>
            <w:tcW w:w="1564" w:type="dxa"/>
            <w:tcBorders>
              <w:top w:val="single" w:sz="4" w:space="0" w:color="auto"/>
              <w:left w:val="single" w:sz="4" w:space="0" w:color="auto"/>
              <w:bottom w:val="single" w:sz="4"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分配前</w:t>
            </w:r>
          </w:p>
        </w:tc>
        <w:tc>
          <w:tcPr>
            <w:tcW w:w="2551" w:type="dxa"/>
            <w:tcBorders>
              <w:top w:val="single" w:sz="4" w:space="0" w:color="auto"/>
              <w:left w:val="single" w:sz="4" w:space="0" w:color="auto"/>
              <w:bottom w:val="single" w:sz="4"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5,282,982</w:t>
            </w:r>
          </w:p>
        </w:tc>
      </w:tr>
      <w:tr w:rsidR="00415792" w:rsidRPr="008E2DD7" w:rsidTr="00E1564B">
        <w:trPr>
          <w:cantSplit/>
          <w:trHeight w:hRule="exact" w:val="454"/>
        </w:trPr>
        <w:tc>
          <w:tcPr>
            <w:tcW w:w="0" w:type="auto"/>
            <w:vMerge/>
            <w:tcBorders>
              <w:top w:val="single" w:sz="4" w:space="0" w:color="auto"/>
              <w:bottom w:val="single" w:sz="12"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p>
        </w:tc>
        <w:tc>
          <w:tcPr>
            <w:tcW w:w="1564" w:type="dxa"/>
            <w:tcBorders>
              <w:top w:val="single" w:sz="4" w:space="0" w:color="auto"/>
              <w:left w:val="single" w:sz="4" w:space="0" w:color="auto"/>
              <w:bottom w:val="single" w:sz="12" w:space="0" w:color="auto"/>
              <w:right w:val="single" w:sz="4" w:space="0" w:color="auto"/>
            </w:tcBorders>
            <w:vAlign w:val="center"/>
          </w:tcPr>
          <w:p w:rsidR="00415792" w:rsidRPr="008E2DD7" w:rsidRDefault="00415792" w:rsidP="002874A9">
            <w:pPr>
              <w:ind w:left="57" w:right="57"/>
              <w:jc w:val="distribute"/>
              <w:rPr>
                <w:rFonts w:eastAsia="標楷體"/>
                <w:snapToGrid w:val="0"/>
                <w:kern w:val="0"/>
              </w:rPr>
            </w:pPr>
            <w:r w:rsidRPr="008E2DD7">
              <w:rPr>
                <w:rFonts w:eastAsia="標楷體" w:hint="eastAsia"/>
                <w:snapToGrid w:val="0"/>
                <w:kern w:val="0"/>
              </w:rPr>
              <w:t>分配後</w:t>
            </w:r>
          </w:p>
        </w:tc>
        <w:tc>
          <w:tcPr>
            <w:tcW w:w="2551" w:type="dxa"/>
            <w:tcBorders>
              <w:top w:val="single" w:sz="4" w:space="0" w:color="auto"/>
              <w:left w:val="single" w:sz="4" w:space="0" w:color="auto"/>
              <w:bottom w:val="single" w:sz="12" w:space="0" w:color="auto"/>
            </w:tcBorders>
            <w:vAlign w:val="center"/>
          </w:tcPr>
          <w:p w:rsidR="00415792" w:rsidRPr="008E2DD7" w:rsidRDefault="00415792" w:rsidP="002874A9">
            <w:pPr>
              <w:ind w:right="57"/>
              <w:jc w:val="right"/>
              <w:rPr>
                <w:rFonts w:eastAsia="標楷體"/>
                <w:snapToGrid w:val="0"/>
                <w:kern w:val="0"/>
              </w:rPr>
            </w:pPr>
            <w:r w:rsidRPr="008E2DD7">
              <w:rPr>
                <w:rFonts w:eastAsia="標楷體"/>
                <w:snapToGrid w:val="0"/>
                <w:kern w:val="0"/>
              </w:rPr>
              <w:t>5,282,982</w:t>
            </w:r>
          </w:p>
        </w:tc>
      </w:tr>
    </w:tbl>
    <w:p w:rsidR="00415792" w:rsidRPr="008E2DD7"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8E2DD7">
        <w:rPr>
          <w:rFonts w:ascii="Times New Roman" w:eastAsia="標楷體" w:hAnsi="Times New Roman" w:cs="Times New Roman" w:hint="eastAsia"/>
          <w:b/>
        </w:rPr>
        <w:t>註</w:t>
      </w:r>
      <w:r w:rsidRPr="008E2DD7">
        <w:rPr>
          <w:rFonts w:ascii="Times New Roman" w:eastAsia="標楷體" w:hAnsi="Times New Roman" w:cs="Times New Roman"/>
          <w:b/>
        </w:rPr>
        <w:t>1</w:t>
      </w:r>
      <w:r w:rsidRPr="008E2DD7">
        <w:rPr>
          <w:rFonts w:ascii="Times New Roman" w:eastAsia="標楷體" w:hAnsi="Times New Roman" w:cs="Times New Roman" w:hint="eastAsia"/>
          <w:b/>
        </w:rPr>
        <w:t>：係依</w:t>
      </w:r>
      <w:r w:rsidRPr="008E2DD7">
        <w:rPr>
          <w:rFonts w:ascii="Times New Roman" w:eastAsia="標楷體" w:hAnsi="Times New Roman" w:cs="Times New Roman"/>
          <w:b/>
        </w:rPr>
        <w:t>IFRS</w:t>
      </w:r>
      <w:r w:rsidRPr="008E2DD7">
        <w:rPr>
          <w:rFonts w:ascii="Times New Roman" w:eastAsia="標楷體" w:hAnsi="Times New Roman" w:cs="Times New Roman" w:hint="eastAsia"/>
          <w:b/>
        </w:rPr>
        <w:t>編製之合併自結數字，未經會計師查核簽證，因此可能與會計師查核結果存有差異，請投資人於參考時審慎評估。</w:t>
      </w:r>
    </w:p>
    <w:p w:rsidR="00415792" w:rsidRPr="008E2DD7"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8E2DD7">
        <w:rPr>
          <w:rFonts w:ascii="Times New Roman" w:eastAsia="標楷體" w:hAnsi="Times New Roman" w:cs="Times New Roman" w:hint="eastAsia"/>
          <w:b/>
        </w:rPr>
        <w:t>註</w:t>
      </w:r>
      <w:r w:rsidRPr="008E2DD7">
        <w:rPr>
          <w:rFonts w:ascii="Times New Roman" w:eastAsia="標楷體" w:hAnsi="Times New Roman" w:cs="Times New Roman"/>
          <w:b/>
        </w:rPr>
        <w:t>2</w:t>
      </w:r>
      <w:r w:rsidRPr="008E2DD7">
        <w:rPr>
          <w:rFonts w:ascii="Times New Roman" w:eastAsia="標楷體" w:hAnsi="Times New Roman" w:cs="Times New Roman" w:hint="eastAsia"/>
          <w:b/>
        </w:rPr>
        <w:t>：上開財務資訊</w:t>
      </w:r>
      <w:r w:rsidRPr="008E2DD7">
        <w:rPr>
          <w:rFonts w:ascii="Times New Roman" w:eastAsia="標楷體" w:hAnsi="Times New Roman" w:cs="Times New Roman"/>
          <w:b/>
        </w:rPr>
        <w:t>99-100</w:t>
      </w:r>
      <w:r w:rsidRPr="008E2DD7">
        <w:rPr>
          <w:rFonts w:ascii="Times New Roman" w:eastAsia="標楷體" w:hAnsi="Times New Roman" w:cs="Times New Roman" w:hint="eastAsia"/>
          <w:b/>
        </w:rPr>
        <w:t>年度係依據</w:t>
      </w:r>
      <w:r w:rsidRPr="008E2DD7">
        <w:rPr>
          <w:rFonts w:ascii="Times New Roman" w:eastAsia="標楷體" w:hAnsi="Times New Roman" w:cs="Times New Roman"/>
          <w:b/>
        </w:rPr>
        <w:t>ROC GAAP</w:t>
      </w:r>
      <w:r w:rsidRPr="008E2DD7">
        <w:rPr>
          <w:rFonts w:ascii="Times New Roman" w:eastAsia="標楷體" w:hAnsi="Times New Roman" w:cs="Times New Roman" w:hint="eastAsia"/>
          <w:b/>
        </w:rPr>
        <w:t>編製之財務報表填列，</w:t>
      </w:r>
      <w:r w:rsidRPr="008E2DD7">
        <w:rPr>
          <w:rFonts w:ascii="Times New Roman" w:eastAsia="標楷體" w:hAnsi="Times New Roman" w:cs="Times New Roman"/>
          <w:b/>
        </w:rPr>
        <w:t>101-102</w:t>
      </w:r>
      <w:r w:rsidRPr="008E2DD7">
        <w:rPr>
          <w:rFonts w:ascii="Times New Roman" w:eastAsia="標楷體" w:hAnsi="Times New Roman" w:cs="Times New Roman" w:hint="eastAsia"/>
          <w:b/>
        </w:rPr>
        <w:t>年度係依據</w:t>
      </w:r>
      <w:r w:rsidRPr="008E2DD7">
        <w:rPr>
          <w:rFonts w:ascii="Times New Roman" w:eastAsia="標楷體" w:hAnsi="Times New Roman" w:cs="Times New Roman"/>
          <w:b/>
        </w:rPr>
        <w:t>ROC GAAP</w:t>
      </w:r>
      <w:r w:rsidRPr="008E2DD7">
        <w:rPr>
          <w:rFonts w:ascii="Times New Roman" w:eastAsia="標楷體" w:hAnsi="Times New Roman" w:cs="Times New Roman" w:hint="eastAsia"/>
          <w:b/>
        </w:rPr>
        <w:t>編製之合併財務報表填列，業經會計師查核簽證。</w:t>
      </w:r>
    </w:p>
    <w:p w:rsidR="00415792" w:rsidRPr="003F1079"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3F1079">
        <w:rPr>
          <w:rFonts w:ascii="Times New Roman" w:eastAsia="標楷體" w:hAnsi="Times New Roman" w:cs="Times New Roman" w:hint="eastAsia"/>
          <w:b/>
        </w:rPr>
        <w:t>註</w:t>
      </w:r>
      <w:r w:rsidRPr="003F1079">
        <w:rPr>
          <w:rFonts w:ascii="Times New Roman" w:eastAsia="標楷體" w:hAnsi="Times New Roman" w:cs="Times New Roman"/>
          <w:b/>
        </w:rPr>
        <w:t xml:space="preserve">3: </w:t>
      </w:r>
      <w:r w:rsidRPr="003F1079">
        <w:rPr>
          <w:rFonts w:ascii="Times New Roman" w:eastAsia="標楷體" w:hAnsi="Times New Roman" w:cs="Times New Roman" w:hint="eastAsia"/>
          <w:b/>
        </w:rPr>
        <w:t>本公司於</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w:t>
      </w:r>
      <w:r w:rsidRPr="003F1079">
        <w:rPr>
          <w:rFonts w:ascii="Times New Roman" w:eastAsia="標楷體" w:hAnsi="Times New Roman" w:cs="Times New Roman"/>
          <w:b/>
        </w:rPr>
        <w:t>11</w:t>
      </w:r>
      <w:r w:rsidRPr="003F1079">
        <w:rPr>
          <w:rFonts w:ascii="Times New Roman" w:eastAsia="標楷體" w:hAnsi="Times New Roman" w:cs="Times New Roman" w:hint="eastAsia"/>
          <w:b/>
        </w:rPr>
        <w:t>月</w:t>
      </w:r>
      <w:r w:rsidRPr="003F1079">
        <w:rPr>
          <w:rFonts w:ascii="Times New Roman" w:eastAsia="標楷體" w:hAnsi="Times New Roman" w:cs="Times New Roman"/>
          <w:b/>
        </w:rPr>
        <w:t>27</w:t>
      </w:r>
      <w:r w:rsidRPr="003F1079">
        <w:rPr>
          <w:rFonts w:ascii="Times New Roman" w:eastAsia="標楷體" w:hAnsi="Times New Roman" w:cs="Times New Roman" w:hint="eastAsia"/>
          <w:b/>
        </w:rPr>
        <w:t>日為基準日進行組織架構重組後，直接持有東山林公司股權</w:t>
      </w:r>
      <w:r w:rsidRPr="003F1079">
        <w:rPr>
          <w:rFonts w:ascii="Times New Roman" w:eastAsia="標楷體" w:hAnsi="Times New Roman" w:cs="Times New Roman"/>
          <w:b/>
        </w:rPr>
        <w:t>100%</w:t>
      </w:r>
      <w:r w:rsidRPr="003F1079">
        <w:rPr>
          <w:rFonts w:ascii="Times New Roman" w:eastAsia="標楷體" w:hAnsi="Times New Roman" w:cs="Times New Roman" w:hint="eastAsia"/>
          <w:b/>
        </w:rPr>
        <w:t>及綠山林公司股權</w:t>
      </w:r>
      <w:r w:rsidRPr="003F1079">
        <w:rPr>
          <w:rFonts w:ascii="Times New Roman" w:eastAsia="標楷體" w:hAnsi="Times New Roman" w:cs="Times New Roman"/>
          <w:b/>
        </w:rPr>
        <w:t>70%</w:t>
      </w:r>
      <w:r w:rsidRPr="003F1079">
        <w:rPr>
          <w:rFonts w:ascii="Times New Roman" w:eastAsia="標楷體" w:hAnsi="Times New Roman" w:cs="Times New Roman" w:hint="eastAsia"/>
          <w:b/>
        </w:rPr>
        <w:t>，依照中華民國會計研究發展基金會</w:t>
      </w:r>
      <w:r w:rsidRPr="003F1079">
        <w:rPr>
          <w:rFonts w:ascii="Times New Roman" w:eastAsia="標楷體" w:hAnsi="Times New Roman" w:cs="Times New Roman"/>
          <w:b/>
        </w:rPr>
        <w:t>(95)</w:t>
      </w:r>
      <w:r w:rsidRPr="003F1079">
        <w:rPr>
          <w:rFonts w:ascii="Times New Roman" w:eastAsia="標楷體" w:hAnsi="Times New Roman" w:cs="Times New Roman" w:hint="eastAsia"/>
          <w:b/>
        </w:rPr>
        <w:t>基祕字第</w:t>
      </w:r>
      <w:r w:rsidRPr="003F1079">
        <w:rPr>
          <w:rFonts w:ascii="Times New Roman" w:eastAsia="標楷體" w:hAnsi="Times New Roman" w:cs="Times New Roman"/>
          <w:b/>
        </w:rPr>
        <w:t>141</w:t>
      </w:r>
      <w:r w:rsidRPr="003F1079">
        <w:rPr>
          <w:rFonts w:ascii="Times New Roman" w:eastAsia="標楷體" w:hAnsi="Times New Roman" w:cs="Times New Roman" w:hint="eastAsia"/>
          <w:b/>
        </w:rPr>
        <w:t>號函及</w:t>
      </w:r>
      <w:r w:rsidRPr="003F1079">
        <w:rPr>
          <w:rFonts w:ascii="Times New Roman" w:eastAsia="標楷體" w:hAnsi="Times New Roman" w:cs="Times New Roman"/>
          <w:b/>
        </w:rPr>
        <w:t>(101)</w:t>
      </w:r>
      <w:r w:rsidRPr="003F1079">
        <w:rPr>
          <w:rFonts w:ascii="Times New Roman" w:eastAsia="標楷體" w:hAnsi="Times New Roman" w:cs="Times New Roman" w:hint="eastAsia"/>
          <w:b/>
        </w:rPr>
        <w:t>基祕字第</w:t>
      </w:r>
      <w:r w:rsidRPr="003F1079">
        <w:rPr>
          <w:rFonts w:ascii="Times New Roman" w:eastAsia="標楷體" w:hAnsi="Times New Roman" w:cs="Times New Roman"/>
          <w:b/>
        </w:rPr>
        <w:t>301</w:t>
      </w:r>
      <w:r w:rsidRPr="003F1079">
        <w:rPr>
          <w:rFonts w:ascii="Times New Roman" w:eastAsia="標楷體" w:hAnsi="Times New Roman" w:cs="Times New Roman" w:hint="eastAsia"/>
          <w:b/>
        </w:rPr>
        <w:t>號函之規定，將子公司視為自始合併，故</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年度財務報告追溯調整認列損益為民國</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w:t>
      </w:r>
      <w:r w:rsidRPr="003F1079">
        <w:rPr>
          <w:rFonts w:ascii="Times New Roman" w:eastAsia="標楷體" w:hAnsi="Times New Roman" w:cs="Times New Roman"/>
          <w:b/>
        </w:rPr>
        <w:t>1</w:t>
      </w:r>
      <w:r w:rsidRPr="003F1079">
        <w:rPr>
          <w:rFonts w:ascii="Times New Roman" w:eastAsia="標楷體" w:hAnsi="Times New Roman" w:cs="Times New Roman" w:hint="eastAsia"/>
          <w:b/>
        </w:rPr>
        <w:t>月</w:t>
      </w:r>
      <w:r w:rsidRPr="003F1079">
        <w:rPr>
          <w:rFonts w:ascii="Times New Roman" w:eastAsia="標楷體" w:hAnsi="Times New Roman" w:cs="Times New Roman"/>
          <w:b/>
        </w:rPr>
        <w:t>1</w:t>
      </w:r>
      <w:r w:rsidRPr="003F1079">
        <w:rPr>
          <w:rFonts w:ascii="Times New Roman" w:eastAsia="標楷體" w:hAnsi="Times New Roman" w:cs="Times New Roman" w:hint="eastAsia"/>
          <w:b/>
        </w:rPr>
        <w:t>日至民國</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w:t>
      </w:r>
      <w:r w:rsidRPr="003F1079">
        <w:rPr>
          <w:rFonts w:ascii="Times New Roman" w:eastAsia="標楷體" w:hAnsi="Times New Roman" w:cs="Times New Roman"/>
          <w:b/>
        </w:rPr>
        <w:t>12</w:t>
      </w:r>
      <w:r w:rsidRPr="003F1079">
        <w:rPr>
          <w:rFonts w:ascii="Times New Roman" w:eastAsia="標楷體" w:hAnsi="Times New Roman" w:cs="Times New Roman" w:hint="eastAsia"/>
          <w:b/>
        </w:rPr>
        <w:t>月</w:t>
      </w:r>
      <w:r w:rsidRPr="003F1079">
        <w:rPr>
          <w:rFonts w:ascii="Times New Roman" w:eastAsia="標楷體" w:hAnsi="Times New Roman" w:cs="Times New Roman"/>
          <w:b/>
        </w:rPr>
        <w:t>31</w:t>
      </w:r>
      <w:r w:rsidRPr="003F1079">
        <w:rPr>
          <w:rFonts w:ascii="Times New Roman" w:eastAsia="標楷體" w:hAnsi="Times New Roman" w:cs="Times New Roman" w:hint="eastAsia"/>
          <w:b/>
        </w:rPr>
        <w:t>日。</w:t>
      </w: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b/>
        </w:rPr>
      </w:pPr>
    </w:p>
    <w:p w:rsidR="00415792" w:rsidRPr="001947FD" w:rsidRDefault="00415792" w:rsidP="004D651B">
      <w:pPr>
        <w:pStyle w:val="NormalWeb"/>
        <w:widowControl w:val="0"/>
        <w:spacing w:before="0" w:beforeAutospacing="0" w:after="0" w:afterAutospacing="0"/>
        <w:ind w:left="31680" w:hangingChars="285" w:firstLine="31680"/>
        <w:rPr>
          <w:rFonts w:ascii="Times New Roman" w:eastAsia="標楷體" w:hAnsi="Times New Roman" w:cs="Times New Roman"/>
        </w:rPr>
      </w:pPr>
      <w:r w:rsidRPr="008E2DD7">
        <w:rPr>
          <w:rFonts w:ascii="Times New Roman" w:eastAsia="標楷體" w:hAnsi="Times New Roman" w:cs="Times New Roman"/>
        </w:rPr>
        <w:t xml:space="preserve">                                                                         </w:t>
      </w:r>
      <w:hyperlink w:anchor="第一頁" w:history="1">
        <w:r w:rsidRPr="00CA0603">
          <w:rPr>
            <w:rFonts w:ascii="Times New Roman" w:eastAsia="標楷體" w:hAnsi="Times New Roman" w:cs="Times New Roman"/>
            <w:noProof/>
          </w:rPr>
          <w:pict>
            <v:shape id="圖片 8" o:spid="_x0000_i1031" type="#_x0000_t75" alt="icon_top" href="#2A" style="width:32.25pt;height:12pt;visibility:visible" o:button="t">
              <v:fill o:detectmouseclick="t"/>
              <v:imagedata r:id="rId9" o:title=""/>
            </v:shape>
          </w:pict>
        </w:r>
      </w:hyperlink>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415792" w:rsidRPr="008E2DD7" w:rsidTr="00596C93">
        <w:trPr>
          <w:cantSplit/>
          <w:trHeight w:val="707"/>
        </w:trPr>
        <w:tc>
          <w:tcPr>
            <w:tcW w:w="9748" w:type="dxa"/>
            <w:gridSpan w:val="5"/>
            <w:tcBorders>
              <w:bottom w:val="single" w:sz="6" w:space="0" w:color="auto"/>
            </w:tcBorders>
          </w:tcPr>
          <w:p w:rsidR="00415792" w:rsidRPr="008E2DD7" w:rsidRDefault="00415792" w:rsidP="00596C93">
            <w:pPr>
              <w:jc w:val="center"/>
              <w:rPr>
                <w:rFonts w:eastAsia="標楷體"/>
                <w:b/>
                <w:bCs/>
                <w:sz w:val="28"/>
              </w:rPr>
            </w:pPr>
            <w:r>
              <w:rPr>
                <w:noProof/>
              </w:rPr>
              <w:pict>
                <v:shape id="Text Box 98" o:spid="_x0000_s1038" type="#_x0000_t202" style="position:absolute;left:0;text-align:left;margin-left:0;margin-top:-.05pt;width:486pt;height:35.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SdzwIAANUFAAAOAAAAZHJzL2Uyb0RvYy54bWysVMlu2zAQvRfoPxC8O1og2ZYQOUjiuiiQ&#10;LkBS9ExLlESUIlmStpQW/fcOKdlRmxyKojJAc5kZznvzOJdXQ8fRkWrDpChwdBFiREUpKyaaAn9+&#10;2C3WGBlLREW4FLTAj9Tgq83rV5e9ymksW8krqhEEESbvVYFba1UeBKZsaUfMhVRUwGEtdUcsLHUT&#10;VJr0EL3jQRyGy6CXulJaltQY2N2Oh3jj49c1Le3HujbUIl5gyM36Uftx78Zgc0nyRhPVsnJKg/xD&#10;Fh1hAi49h9oSS9BBs2ehOlZqaWRtL0rZBbKuWUk9BkAThX+guW+Joh4LkGPUmSbz/8KWH46fNGIV&#10;1G6FkSAd1OiBDhbdyAFla8dPr0wOZvcKDO0A+2DrsRp1J8uvBgl52xLR0GutZd9SUkF+kfMMZq5j&#10;HOOC7Pv3soJ7yMFKH2iodefIAzoQRIc6PZ5r43IpYXMZrWIoOEYlnCVpGEepv4LkJ2+ljX1LZYfc&#10;pMAaau+jk+OdsS4bkp9MpkpVO8Y50tJ+Ybb1ZJ+gNQZ8vJVBSgKecESsm/0t1+hIQE5vtu43JdGY&#10;uXUawvfcY+e/Fz0i5/GCy7NLAMU5Oc4EAuILnCajOzIl4dQV83SJJh6kS44LNwrpQI90jDvA8ATW&#10;ce1F+yOL4iS8ibPFbrleLZJdki6yVbhehFF2ky3DJEu2u58OYJTkLasqKu6YoKcHFCV/J9DpKY/S&#10;908I9QXO0jgduZOcnbM3c+o9Wv94gQ4zN+uYhX7CWVfg9cgJQCW5U+UbUfm5JYyP8+D39L1EgIPT&#10;v2fFa9jJdhSwHfaDfy5Lx7DT915WjyBqUJFXLvRCmLRSf8eoh75SYPPtQDTFiL8TIKQsShLXiPwi&#10;SVcxLPT8ZD8/IaKEUAW2GArtprd2bF4HpVnTwk3jUxTyGh5TzbzOn7KaniD0Do9p6nOuOc3X3uqp&#10;G29+AQ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CrJlSdzwIAANUFAAAOAAAAAAAAAAAAAAAAAC4CAABkcnMvZTJvRG9jLnht&#10;bFBLAQItABQABgAIAAAAIQCVtlBf3AAAAAUBAAAPAAAAAAAAAAAAAAAAACkFAABkcnMvZG93bnJl&#10;di54bWxQSwUGAAAAAAQABADzAAAAMgYAAAAA&#10;" fillcolor="#ededed" stroked="f">
                  <v:fill rotate="t" focus="50%" type="gradient"/>
                  <v:textbox>
                    <w:txbxContent>
                      <w:p w:rsidR="00415792" w:rsidRDefault="00415792" w:rsidP="00E57429">
                        <w:bookmarkStart w:id="4" w:name="最近三年度財務比率及股利發放情形"/>
                        <w:bookmarkEnd w:id="4"/>
                      </w:p>
                    </w:txbxContent>
                  </v:textbox>
                </v:shape>
              </w:pict>
            </w:r>
            <w:r w:rsidRPr="008E2DD7">
              <w:rPr>
                <w:rFonts w:eastAsia="標楷體" w:hint="eastAsia"/>
                <w:b/>
                <w:bCs/>
                <w:sz w:val="28"/>
              </w:rPr>
              <w:t>最近三年度財務比率</w:t>
            </w:r>
          </w:p>
        </w:tc>
      </w:tr>
      <w:tr w:rsidR="00415792" w:rsidRPr="008E2DD7" w:rsidTr="00596C93">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415792" w:rsidRPr="008E2DD7" w:rsidRDefault="00415792" w:rsidP="00596C93">
            <w:pPr>
              <w:wordWrap w:val="0"/>
              <w:ind w:left="57" w:right="57"/>
              <w:jc w:val="right"/>
              <w:rPr>
                <w:rFonts w:eastAsia="標楷體"/>
              </w:rPr>
            </w:pPr>
            <w:r w:rsidRPr="008E2DD7">
              <w:rPr>
                <w:rFonts w:eastAsia="標楷體" w:hint="eastAsia"/>
              </w:rPr>
              <w:t>年</w:t>
            </w:r>
            <w:r w:rsidRPr="008E2DD7">
              <w:rPr>
                <w:rFonts w:eastAsia="標楷體"/>
              </w:rPr>
              <w:t xml:space="preserve">  </w:t>
            </w:r>
            <w:r w:rsidRPr="008E2DD7">
              <w:rPr>
                <w:rFonts w:eastAsia="標楷體" w:hint="eastAsia"/>
              </w:rPr>
              <w:t>度</w:t>
            </w:r>
          </w:p>
          <w:p w:rsidR="00415792" w:rsidRPr="008E2DD7" w:rsidRDefault="00415792" w:rsidP="00415792">
            <w:pPr>
              <w:ind w:firstLineChars="100" w:firstLine="31680"/>
              <w:rPr>
                <w:rFonts w:eastAsia="標楷體"/>
              </w:rPr>
            </w:pPr>
            <w:r w:rsidRPr="008E2DD7">
              <w:rPr>
                <w:rFonts w:eastAsia="標楷體" w:hint="eastAsia"/>
              </w:rPr>
              <w:t>項</w:t>
            </w:r>
            <w:r w:rsidRPr="008E2DD7">
              <w:rPr>
                <w:rFonts w:eastAsia="標楷體"/>
              </w:rPr>
              <w:t xml:space="preserve">  </w:t>
            </w:r>
            <w:r w:rsidRPr="008E2DD7">
              <w:rPr>
                <w:rFonts w:eastAsia="標楷體" w:hint="eastAsia"/>
              </w:rPr>
              <w:t>目</w:t>
            </w:r>
          </w:p>
        </w:tc>
        <w:tc>
          <w:tcPr>
            <w:tcW w:w="2294"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2E2361">
            <w:pPr>
              <w:jc w:val="center"/>
              <w:rPr>
                <w:rFonts w:eastAsia="標楷體"/>
              </w:rPr>
            </w:pPr>
            <w:r w:rsidRPr="008E2DD7">
              <w:rPr>
                <w:rFonts w:eastAsia="標楷體"/>
              </w:rPr>
              <w:t>101</w:t>
            </w:r>
            <w:r w:rsidRPr="008E2DD7">
              <w:rPr>
                <w:rFonts w:eastAsia="標楷體" w:hint="eastAsia"/>
              </w:rPr>
              <w:t>年</w:t>
            </w:r>
          </w:p>
        </w:tc>
        <w:tc>
          <w:tcPr>
            <w:tcW w:w="2160" w:type="dxa"/>
            <w:tcBorders>
              <w:top w:val="single" w:sz="6" w:space="0" w:color="auto"/>
              <w:left w:val="single" w:sz="6" w:space="0" w:color="auto"/>
              <w:bottom w:val="single" w:sz="6" w:space="0" w:color="auto"/>
              <w:right w:val="single" w:sz="6" w:space="0" w:color="auto"/>
            </w:tcBorders>
            <w:vAlign w:val="center"/>
          </w:tcPr>
          <w:p w:rsidR="00415792" w:rsidRPr="008E2DD7" w:rsidRDefault="00415792" w:rsidP="002E2361">
            <w:pPr>
              <w:jc w:val="center"/>
              <w:rPr>
                <w:rFonts w:eastAsia="標楷體"/>
              </w:rPr>
            </w:pPr>
            <w:r w:rsidRPr="008E2DD7">
              <w:rPr>
                <w:rFonts w:eastAsia="標楷體"/>
              </w:rPr>
              <w:t>102</w:t>
            </w:r>
            <w:r w:rsidRPr="008E2DD7">
              <w:rPr>
                <w:rFonts w:eastAsia="標楷體" w:hint="eastAsia"/>
              </w:rPr>
              <w:t>年</w:t>
            </w:r>
          </w:p>
        </w:tc>
        <w:tc>
          <w:tcPr>
            <w:tcW w:w="2160" w:type="dxa"/>
            <w:tcBorders>
              <w:top w:val="single" w:sz="6" w:space="0" w:color="auto"/>
              <w:bottom w:val="single" w:sz="6" w:space="0" w:color="auto"/>
              <w:right w:val="single" w:sz="6" w:space="0" w:color="auto"/>
            </w:tcBorders>
            <w:vAlign w:val="center"/>
          </w:tcPr>
          <w:p w:rsidR="00415792" w:rsidRPr="008E2DD7" w:rsidRDefault="00415792" w:rsidP="002E2361">
            <w:pPr>
              <w:jc w:val="center"/>
              <w:rPr>
                <w:rFonts w:eastAsia="標楷體"/>
              </w:rPr>
            </w:pPr>
            <w:r w:rsidRPr="008E2DD7">
              <w:rPr>
                <w:rFonts w:eastAsia="標楷體"/>
              </w:rPr>
              <w:t>103</w:t>
            </w:r>
            <w:r w:rsidRPr="008E2DD7">
              <w:rPr>
                <w:rFonts w:eastAsia="標楷體" w:hint="eastAsia"/>
              </w:rPr>
              <w:t>年</w:t>
            </w:r>
          </w:p>
          <w:p w:rsidR="00415792" w:rsidRPr="008E2DD7" w:rsidRDefault="00415792" w:rsidP="002E2361">
            <w:pPr>
              <w:jc w:val="center"/>
              <w:rPr>
                <w:rFonts w:eastAsia="標楷體"/>
              </w:rPr>
            </w:pPr>
            <w:r w:rsidRPr="008E2DD7">
              <w:rPr>
                <w:rFonts w:eastAsia="標楷體"/>
              </w:rPr>
              <w:t>(</w:t>
            </w:r>
            <w:r w:rsidRPr="008E2DD7">
              <w:rPr>
                <w:rFonts w:eastAsia="標楷體" w:hint="eastAsia"/>
              </w:rPr>
              <w:t>自結數</w:t>
            </w:r>
            <w:r w:rsidRPr="008E2DD7">
              <w:rPr>
                <w:rFonts w:eastAsia="標楷體"/>
              </w:rPr>
              <w:t xml:space="preserve">) </w:t>
            </w:r>
          </w:p>
          <w:p w:rsidR="00415792" w:rsidRPr="008E2DD7" w:rsidRDefault="00415792" w:rsidP="002E2361">
            <w:pPr>
              <w:jc w:val="center"/>
              <w:rPr>
                <w:rFonts w:eastAsia="標楷體"/>
              </w:rPr>
            </w:pPr>
            <w:r w:rsidRPr="008E2DD7">
              <w:rPr>
                <w:rFonts w:eastAsia="標楷體"/>
              </w:rPr>
              <w:t>(</w:t>
            </w:r>
            <w:r w:rsidRPr="008E2DD7">
              <w:rPr>
                <w:rFonts w:eastAsia="標楷體" w:hint="eastAsia"/>
              </w:rPr>
              <w:t>註</w:t>
            </w:r>
            <w:r w:rsidRPr="008E2DD7">
              <w:rPr>
                <w:rFonts w:eastAsia="標楷體"/>
              </w:rPr>
              <w:t>1)</w:t>
            </w:r>
          </w:p>
        </w:tc>
      </w:tr>
      <w:tr w:rsidR="00415792" w:rsidRPr="008E2DD7" w:rsidTr="00596C93">
        <w:trPr>
          <w:cantSplit/>
        </w:trPr>
        <w:tc>
          <w:tcPr>
            <w:tcW w:w="568" w:type="dxa"/>
            <w:vMerge w:val="restart"/>
            <w:shd w:val="clear" w:color="auto" w:fill="F9F9F9"/>
          </w:tcPr>
          <w:p w:rsidR="00415792" w:rsidRPr="008E2DD7" w:rsidRDefault="00415792" w:rsidP="0075215E">
            <w:pPr>
              <w:spacing w:beforeLines="50"/>
              <w:jc w:val="center"/>
              <w:rPr>
                <w:rFonts w:eastAsia="標楷體"/>
                <w:b/>
              </w:rPr>
            </w:pPr>
            <w:bookmarkStart w:id="5" w:name="財務比率"/>
            <w:bookmarkEnd w:id="5"/>
            <w:r w:rsidRPr="008E2DD7">
              <w:rPr>
                <w:rFonts w:eastAsia="標楷體" w:hint="eastAsia"/>
                <w:b/>
              </w:rPr>
              <w:t>財</w:t>
            </w:r>
          </w:p>
          <w:p w:rsidR="00415792" w:rsidRPr="008E2DD7" w:rsidRDefault="00415792" w:rsidP="002E2361">
            <w:pPr>
              <w:jc w:val="center"/>
              <w:rPr>
                <w:rFonts w:eastAsia="標楷體"/>
                <w:b/>
              </w:rPr>
            </w:pPr>
            <w:r w:rsidRPr="008E2DD7">
              <w:rPr>
                <w:rFonts w:eastAsia="標楷體" w:hint="eastAsia"/>
                <w:b/>
              </w:rPr>
              <w:t>務</w:t>
            </w:r>
          </w:p>
          <w:p w:rsidR="00415792" w:rsidRPr="008E2DD7" w:rsidRDefault="00415792" w:rsidP="002E2361">
            <w:pPr>
              <w:jc w:val="center"/>
              <w:rPr>
                <w:rFonts w:eastAsia="標楷體"/>
                <w:b/>
              </w:rPr>
            </w:pPr>
            <w:r w:rsidRPr="008E2DD7">
              <w:rPr>
                <w:rFonts w:eastAsia="標楷體" w:hint="eastAsia"/>
                <w:b/>
              </w:rPr>
              <w:t>比</w:t>
            </w:r>
          </w:p>
          <w:p w:rsidR="00415792" w:rsidRPr="008E2DD7" w:rsidRDefault="00415792" w:rsidP="002E2361">
            <w:pPr>
              <w:jc w:val="center"/>
              <w:rPr>
                <w:rFonts w:eastAsia="標楷體"/>
              </w:rPr>
            </w:pPr>
            <w:r w:rsidRPr="008E2DD7">
              <w:rPr>
                <w:rFonts w:eastAsia="標楷體" w:hint="eastAsia"/>
                <w:b/>
              </w:rPr>
              <w:t>率</w:t>
            </w:r>
          </w:p>
        </w:tc>
        <w:tc>
          <w:tcPr>
            <w:tcW w:w="2566" w:type="dxa"/>
            <w:shd w:val="clear" w:color="auto" w:fill="F9F9F9"/>
          </w:tcPr>
          <w:p w:rsidR="00415792" w:rsidRPr="008E2DD7" w:rsidRDefault="00415792" w:rsidP="002E2361">
            <w:pPr>
              <w:jc w:val="both"/>
              <w:rPr>
                <w:rFonts w:eastAsia="標楷體"/>
              </w:rPr>
            </w:pPr>
            <w:r w:rsidRPr="008E2DD7">
              <w:rPr>
                <w:rFonts w:eastAsia="標楷體" w:hint="eastAsia"/>
              </w:rPr>
              <w:t>毛利率</w:t>
            </w:r>
            <w:r w:rsidRPr="008E2DD7">
              <w:rPr>
                <w:rFonts w:eastAsia="標楷體"/>
              </w:rPr>
              <w:t>(%)</w:t>
            </w:r>
          </w:p>
        </w:tc>
        <w:tc>
          <w:tcPr>
            <w:tcW w:w="2294" w:type="dxa"/>
            <w:vAlign w:val="bottom"/>
          </w:tcPr>
          <w:p w:rsidR="00415792" w:rsidRPr="008E2DD7" w:rsidRDefault="00415792" w:rsidP="002E2361">
            <w:pPr>
              <w:spacing w:line="300" w:lineRule="exact"/>
              <w:jc w:val="center"/>
              <w:rPr>
                <w:rFonts w:eastAsia="標楷體"/>
              </w:rPr>
            </w:pPr>
            <w:r w:rsidRPr="008E2DD7">
              <w:rPr>
                <w:rFonts w:eastAsia="標楷體"/>
              </w:rPr>
              <w:t>11.11</w:t>
            </w:r>
          </w:p>
        </w:tc>
        <w:tc>
          <w:tcPr>
            <w:tcW w:w="2160" w:type="dxa"/>
            <w:vAlign w:val="bottom"/>
          </w:tcPr>
          <w:p w:rsidR="00415792" w:rsidRPr="008E2DD7" w:rsidRDefault="00415792" w:rsidP="002E2361">
            <w:pPr>
              <w:spacing w:line="300" w:lineRule="exact"/>
              <w:jc w:val="center"/>
              <w:rPr>
                <w:rFonts w:eastAsia="標楷體"/>
              </w:rPr>
            </w:pPr>
            <w:r w:rsidRPr="008E2DD7">
              <w:rPr>
                <w:rFonts w:eastAsia="標楷體"/>
              </w:rPr>
              <w:t>38.26</w:t>
            </w:r>
          </w:p>
        </w:tc>
        <w:tc>
          <w:tcPr>
            <w:tcW w:w="2160" w:type="dxa"/>
            <w:vAlign w:val="bottom"/>
          </w:tcPr>
          <w:p w:rsidR="00415792" w:rsidRPr="008E2DD7" w:rsidRDefault="00415792" w:rsidP="002E2361">
            <w:pPr>
              <w:spacing w:line="300" w:lineRule="exact"/>
              <w:jc w:val="center"/>
              <w:rPr>
                <w:rFonts w:eastAsia="標楷體"/>
              </w:rPr>
            </w:pPr>
            <w:r w:rsidRPr="008E2DD7">
              <w:rPr>
                <w:rFonts w:eastAsia="標楷體"/>
              </w:rPr>
              <w:t>40.24</w:t>
            </w:r>
          </w:p>
        </w:tc>
      </w:tr>
      <w:tr w:rsidR="00415792" w:rsidRPr="008E2DD7" w:rsidTr="00596C93">
        <w:trPr>
          <w:cantSplit/>
        </w:trPr>
        <w:tc>
          <w:tcPr>
            <w:tcW w:w="568" w:type="dxa"/>
            <w:vMerge/>
          </w:tcPr>
          <w:p w:rsidR="00415792" w:rsidRPr="008E2DD7" w:rsidRDefault="00415792" w:rsidP="002E2361">
            <w:pPr>
              <w:jc w:val="both"/>
              <w:rPr>
                <w:rFonts w:eastAsia="標楷體"/>
              </w:rPr>
            </w:pPr>
          </w:p>
        </w:tc>
        <w:tc>
          <w:tcPr>
            <w:tcW w:w="2566" w:type="dxa"/>
            <w:shd w:val="clear" w:color="auto" w:fill="F9F9F9"/>
          </w:tcPr>
          <w:p w:rsidR="00415792" w:rsidRPr="008E2DD7" w:rsidRDefault="00415792" w:rsidP="002E2361">
            <w:pPr>
              <w:jc w:val="both"/>
              <w:rPr>
                <w:rFonts w:eastAsia="標楷體"/>
              </w:rPr>
            </w:pPr>
            <w:r w:rsidRPr="008E2DD7">
              <w:rPr>
                <w:rFonts w:eastAsia="標楷體" w:hint="eastAsia"/>
              </w:rPr>
              <w:t>流動比率</w:t>
            </w:r>
            <w:r w:rsidRPr="008E2DD7">
              <w:rPr>
                <w:rFonts w:eastAsia="標楷體"/>
              </w:rPr>
              <w:t>(%)</w:t>
            </w:r>
          </w:p>
        </w:tc>
        <w:tc>
          <w:tcPr>
            <w:tcW w:w="2294" w:type="dxa"/>
          </w:tcPr>
          <w:p w:rsidR="00415792" w:rsidRPr="008E2DD7" w:rsidRDefault="00415792" w:rsidP="002E2361">
            <w:pPr>
              <w:jc w:val="center"/>
              <w:rPr>
                <w:rFonts w:eastAsia="標楷體"/>
              </w:rPr>
            </w:pPr>
            <w:r w:rsidRPr="008E2DD7">
              <w:rPr>
                <w:rFonts w:eastAsia="標楷體"/>
              </w:rPr>
              <w:t>187.63</w:t>
            </w:r>
          </w:p>
        </w:tc>
        <w:tc>
          <w:tcPr>
            <w:tcW w:w="2160" w:type="dxa"/>
          </w:tcPr>
          <w:p w:rsidR="00415792" w:rsidRPr="008E2DD7" w:rsidRDefault="00415792" w:rsidP="002E2361">
            <w:pPr>
              <w:jc w:val="center"/>
              <w:rPr>
                <w:rFonts w:eastAsia="標楷體"/>
              </w:rPr>
            </w:pPr>
            <w:r w:rsidRPr="008E2DD7">
              <w:rPr>
                <w:rFonts w:eastAsia="標楷體"/>
              </w:rPr>
              <w:t>252.66</w:t>
            </w:r>
          </w:p>
        </w:tc>
        <w:tc>
          <w:tcPr>
            <w:tcW w:w="2160" w:type="dxa"/>
          </w:tcPr>
          <w:p w:rsidR="00415792" w:rsidRPr="008E2DD7" w:rsidRDefault="00415792" w:rsidP="002E2361">
            <w:pPr>
              <w:jc w:val="center"/>
              <w:rPr>
                <w:rFonts w:eastAsia="標楷體"/>
              </w:rPr>
            </w:pPr>
            <w:r w:rsidRPr="008E2DD7">
              <w:rPr>
                <w:rFonts w:eastAsia="標楷體"/>
              </w:rPr>
              <w:t>412.79</w:t>
            </w:r>
          </w:p>
        </w:tc>
      </w:tr>
      <w:tr w:rsidR="00415792" w:rsidRPr="008E2DD7" w:rsidTr="00596C93">
        <w:trPr>
          <w:cantSplit/>
        </w:trPr>
        <w:tc>
          <w:tcPr>
            <w:tcW w:w="568" w:type="dxa"/>
            <w:vMerge/>
          </w:tcPr>
          <w:p w:rsidR="00415792" w:rsidRPr="008E2DD7" w:rsidRDefault="00415792" w:rsidP="002E2361">
            <w:pPr>
              <w:jc w:val="both"/>
              <w:rPr>
                <w:rFonts w:eastAsia="標楷體"/>
              </w:rPr>
            </w:pPr>
          </w:p>
        </w:tc>
        <w:tc>
          <w:tcPr>
            <w:tcW w:w="2566" w:type="dxa"/>
            <w:shd w:val="clear" w:color="auto" w:fill="F9F9F9"/>
          </w:tcPr>
          <w:p w:rsidR="00415792" w:rsidRPr="008E2DD7" w:rsidRDefault="00415792" w:rsidP="002E2361">
            <w:pPr>
              <w:jc w:val="both"/>
              <w:rPr>
                <w:rFonts w:eastAsia="標楷體"/>
              </w:rPr>
            </w:pPr>
            <w:r w:rsidRPr="008E2DD7">
              <w:rPr>
                <w:rFonts w:eastAsia="標楷體" w:hint="eastAsia"/>
              </w:rPr>
              <w:t>應收帳款天數</w:t>
            </w:r>
            <w:r w:rsidRPr="008E2DD7">
              <w:rPr>
                <w:rFonts w:eastAsia="標楷體"/>
              </w:rPr>
              <w:t>(</w:t>
            </w:r>
            <w:r w:rsidRPr="008E2DD7">
              <w:rPr>
                <w:rFonts w:eastAsia="標楷體" w:hint="eastAsia"/>
              </w:rPr>
              <w:t>天</w:t>
            </w:r>
            <w:r w:rsidRPr="008E2DD7">
              <w:rPr>
                <w:rFonts w:eastAsia="標楷體"/>
              </w:rPr>
              <w:t>)</w:t>
            </w:r>
          </w:p>
        </w:tc>
        <w:tc>
          <w:tcPr>
            <w:tcW w:w="2294" w:type="dxa"/>
          </w:tcPr>
          <w:p w:rsidR="00415792" w:rsidRPr="008E2DD7" w:rsidRDefault="00415792" w:rsidP="002E2361">
            <w:pPr>
              <w:jc w:val="center"/>
              <w:rPr>
                <w:rFonts w:eastAsia="標楷體"/>
              </w:rPr>
            </w:pPr>
            <w:r w:rsidRPr="008E2DD7">
              <w:rPr>
                <w:rFonts w:eastAsia="標楷體"/>
              </w:rPr>
              <w:t>(</w:t>
            </w:r>
            <w:r w:rsidRPr="008E2DD7">
              <w:rPr>
                <w:rFonts w:eastAsia="標楷體" w:hint="eastAsia"/>
              </w:rPr>
              <w:t>註</w:t>
            </w:r>
            <w:r w:rsidRPr="008E2DD7">
              <w:rPr>
                <w:rFonts w:eastAsia="標楷體"/>
              </w:rPr>
              <w:t>3)</w:t>
            </w:r>
          </w:p>
        </w:tc>
        <w:tc>
          <w:tcPr>
            <w:tcW w:w="2160" w:type="dxa"/>
          </w:tcPr>
          <w:p w:rsidR="00415792" w:rsidRPr="008E2DD7" w:rsidRDefault="00415792" w:rsidP="002E2361">
            <w:pPr>
              <w:jc w:val="center"/>
              <w:rPr>
                <w:rFonts w:eastAsia="標楷體"/>
              </w:rPr>
            </w:pPr>
            <w:r w:rsidRPr="008E2DD7">
              <w:rPr>
                <w:rFonts w:eastAsia="標楷體"/>
              </w:rPr>
              <w:t>312</w:t>
            </w:r>
          </w:p>
        </w:tc>
        <w:tc>
          <w:tcPr>
            <w:tcW w:w="2160" w:type="dxa"/>
          </w:tcPr>
          <w:p w:rsidR="00415792" w:rsidRPr="008E2DD7" w:rsidRDefault="00415792" w:rsidP="002E2361">
            <w:pPr>
              <w:jc w:val="center"/>
              <w:rPr>
                <w:rFonts w:eastAsia="標楷體"/>
              </w:rPr>
            </w:pPr>
            <w:r w:rsidRPr="008E2DD7">
              <w:rPr>
                <w:rFonts w:eastAsia="標楷體"/>
              </w:rPr>
              <w:t>165</w:t>
            </w:r>
          </w:p>
        </w:tc>
      </w:tr>
      <w:tr w:rsidR="00415792" w:rsidRPr="008E2DD7" w:rsidTr="00596C93">
        <w:trPr>
          <w:cantSplit/>
        </w:trPr>
        <w:tc>
          <w:tcPr>
            <w:tcW w:w="568" w:type="dxa"/>
            <w:vMerge/>
          </w:tcPr>
          <w:p w:rsidR="00415792" w:rsidRPr="008E2DD7" w:rsidRDefault="00415792" w:rsidP="002E2361">
            <w:pPr>
              <w:jc w:val="both"/>
              <w:rPr>
                <w:rFonts w:eastAsia="標楷體"/>
              </w:rPr>
            </w:pPr>
          </w:p>
        </w:tc>
        <w:tc>
          <w:tcPr>
            <w:tcW w:w="2566" w:type="dxa"/>
            <w:shd w:val="clear" w:color="auto" w:fill="F9F9F9"/>
          </w:tcPr>
          <w:p w:rsidR="00415792" w:rsidRPr="008E2DD7" w:rsidRDefault="00415792" w:rsidP="002E2361">
            <w:pPr>
              <w:jc w:val="both"/>
              <w:rPr>
                <w:rFonts w:eastAsia="標楷體"/>
              </w:rPr>
            </w:pPr>
            <w:r w:rsidRPr="008E2DD7">
              <w:rPr>
                <w:rFonts w:eastAsia="標楷體" w:hint="eastAsia"/>
              </w:rPr>
              <w:t>存貨週轉天數</w:t>
            </w:r>
            <w:r w:rsidRPr="008E2DD7">
              <w:rPr>
                <w:rFonts w:eastAsia="標楷體"/>
              </w:rPr>
              <w:t>(</w:t>
            </w:r>
            <w:r w:rsidRPr="008E2DD7">
              <w:rPr>
                <w:rFonts w:eastAsia="標楷體" w:hint="eastAsia"/>
              </w:rPr>
              <w:t>天</w:t>
            </w:r>
            <w:r w:rsidRPr="008E2DD7">
              <w:rPr>
                <w:rFonts w:eastAsia="標楷體"/>
              </w:rPr>
              <w:t>)</w:t>
            </w:r>
          </w:p>
        </w:tc>
        <w:tc>
          <w:tcPr>
            <w:tcW w:w="2294" w:type="dxa"/>
          </w:tcPr>
          <w:p w:rsidR="00415792" w:rsidRPr="008E2DD7" w:rsidRDefault="00415792" w:rsidP="002E2361">
            <w:pPr>
              <w:jc w:val="center"/>
              <w:rPr>
                <w:rFonts w:eastAsia="標楷體"/>
              </w:rPr>
            </w:pPr>
            <w:r w:rsidRPr="008E2DD7">
              <w:rPr>
                <w:rFonts w:eastAsia="標楷體"/>
              </w:rPr>
              <w:t>(</w:t>
            </w:r>
            <w:r w:rsidRPr="008E2DD7">
              <w:rPr>
                <w:rFonts w:eastAsia="標楷體" w:hint="eastAsia"/>
              </w:rPr>
              <w:t>註</w:t>
            </w:r>
            <w:r w:rsidRPr="008E2DD7">
              <w:rPr>
                <w:rFonts w:eastAsia="標楷體"/>
              </w:rPr>
              <w:t>3)</w:t>
            </w:r>
          </w:p>
        </w:tc>
        <w:tc>
          <w:tcPr>
            <w:tcW w:w="2160" w:type="dxa"/>
          </w:tcPr>
          <w:p w:rsidR="00415792" w:rsidRPr="008E2DD7" w:rsidRDefault="00415792" w:rsidP="002E2361">
            <w:pPr>
              <w:jc w:val="center"/>
              <w:rPr>
                <w:rFonts w:eastAsia="標楷體"/>
              </w:rPr>
            </w:pPr>
            <w:r w:rsidRPr="008E2DD7">
              <w:rPr>
                <w:rFonts w:eastAsia="標楷體"/>
              </w:rPr>
              <w:t>22</w:t>
            </w:r>
          </w:p>
        </w:tc>
        <w:tc>
          <w:tcPr>
            <w:tcW w:w="2160" w:type="dxa"/>
          </w:tcPr>
          <w:p w:rsidR="00415792" w:rsidRPr="008E2DD7" w:rsidRDefault="00415792" w:rsidP="00433D7F">
            <w:pPr>
              <w:jc w:val="center"/>
              <w:rPr>
                <w:rFonts w:eastAsia="標楷體"/>
              </w:rPr>
            </w:pPr>
            <w:r w:rsidRPr="008E2DD7">
              <w:rPr>
                <w:rFonts w:eastAsia="標楷體"/>
              </w:rPr>
              <w:t>(</w:t>
            </w:r>
            <w:r w:rsidRPr="008E2DD7">
              <w:rPr>
                <w:rFonts w:eastAsia="標楷體" w:hint="eastAsia"/>
              </w:rPr>
              <w:t>註</w:t>
            </w:r>
            <w:r w:rsidRPr="008E2DD7">
              <w:rPr>
                <w:rFonts w:eastAsia="標楷體"/>
              </w:rPr>
              <w:t>5)</w:t>
            </w:r>
          </w:p>
        </w:tc>
      </w:tr>
      <w:tr w:rsidR="00415792" w:rsidRPr="008E2DD7" w:rsidTr="00596C93">
        <w:trPr>
          <w:cantSplit/>
        </w:trPr>
        <w:tc>
          <w:tcPr>
            <w:tcW w:w="568" w:type="dxa"/>
            <w:vMerge/>
          </w:tcPr>
          <w:p w:rsidR="00415792" w:rsidRPr="008E2DD7" w:rsidRDefault="00415792" w:rsidP="002E2361">
            <w:pPr>
              <w:jc w:val="both"/>
              <w:rPr>
                <w:rFonts w:eastAsia="標楷體"/>
              </w:rPr>
            </w:pPr>
          </w:p>
        </w:tc>
        <w:tc>
          <w:tcPr>
            <w:tcW w:w="2566" w:type="dxa"/>
            <w:shd w:val="clear" w:color="auto" w:fill="F9F9F9"/>
          </w:tcPr>
          <w:p w:rsidR="00415792" w:rsidRPr="008E2DD7" w:rsidRDefault="00415792" w:rsidP="002E2361">
            <w:pPr>
              <w:jc w:val="both"/>
              <w:rPr>
                <w:rFonts w:eastAsia="標楷體"/>
              </w:rPr>
            </w:pPr>
            <w:r w:rsidRPr="008E2DD7">
              <w:rPr>
                <w:rFonts w:eastAsia="標楷體" w:hint="eastAsia"/>
              </w:rPr>
              <w:t>負債比率</w:t>
            </w:r>
            <w:r w:rsidRPr="008E2DD7">
              <w:rPr>
                <w:rFonts w:eastAsia="標楷體"/>
              </w:rPr>
              <w:t>(%)</w:t>
            </w:r>
          </w:p>
        </w:tc>
        <w:tc>
          <w:tcPr>
            <w:tcW w:w="2294" w:type="dxa"/>
            <w:vAlign w:val="center"/>
          </w:tcPr>
          <w:p w:rsidR="00415792" w:rsidRPr="008E2DD7" w:rsidRDefault="00415792" w:rsidP="002E2361">
            <w:pPr>
              <w:jc w:val="center"/>
              <w:rPr>
                <w:rFonts w:eastAsia="標楷體"/>
              </w:rPr>
            </w:pPr>
            <w:r w:rsidRPr="008E2DD7">
              <w:rPr>
                <w:rFonts w:eastAsia="標楷體"/>
              </w:rPr>
              <w:t>51.55</w:t>
            </w:r>
          </w:p>
        </w:tc>
        <w:tc>
          <w:tcPr>
            <w:tcW w:w="2160" w:type="dxa"/>
            <w:vAlign w:val="center"/>
          </w:tcPr>
          <w:p w:rsidR="00415792" w:rsidRPr="008E2DD7" w:rsidRDefault="00415792" w:rsidP="002E2361">
            <w:pPr>
              <w:jc w:val="center"/>
              <w:rPr>
                <w:rFonts w:eastAsia="標楷體"/>
              </w:rPr>
            </w:pPr>
            <w:r w:rsidRPr="008E2DD7">
              <w:rPr>
                <w:rFonts w:eastAsia="標楷體"/>
              </w:rPr>
              <w:t>45.86</w:t>
            </w:r>
          </w:p>
        </w:tc>
        <w:tc>
          <w:tcPr>
            <w:tcW w:w="2160" w:type="dxa"/>
            <w:vAlign w:val="center"/>
          </w:tcPr>
          <w:p w:rsidR="00415792" w:rsidRPr="008E2DD7" w:rsidRDefault="00415792" w:rsidP="002E2361">
            <w:pPr>
              <w:jc w:val="center"/>
              <w:rPr>
                <w:rFonts w:eastAsia="標楷體"/>
              </w:rPr>
            </w:pPr>
            <w:r w:rsidRPr="008E2DD7">
              <w:rPr>
                <w:rFonts w:eastAsia="標楷體"/>
              </w:rPr>
              <w:t>42.75</w:t>
            </w:r>
          </w:p>
        </w:tc>
      </w:tr>
    </w:tbl>
    <w:p w:rsidR="00415792" w:rsidRPr="008E2DD7"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8E2DD7">
        <w:rPr>
          <w:rFonts w:ascii="Times New Roman" w:eastAsia="標楷體" w:hAnsi="Times New Roman" w:cs="Times New Roman" w:hint="eastAsia"/>
          <w:b/>
        </w:rPr>
        <w:t>註</w:t>
      </w:r>
      <w:r w:rsidRPr="008E2DD7">
        <w:rPr>
          <w:rFonts w:ascii="Times New Roman" w:eastAsia="標楷體" w:hAnsi="Times New Roman" w:cs="Times New Roman"/>
          <w:b/>
        </w:rPr>
        <w:t>1</w:t>
      </w:r>
      <w:r w:rsidRPr="008E2DD7">
        <w:rPr>
          <w:rFonts w:ascii="Times New Roman" w:eastAsia="標楷體" w:hAnsi="Times New Roman" w:cs="Times New Roman" w:hint="eastAsia"/>
          <w:b/>
        </w:rPr>
        <w:t>：係依</w:t>
      </w:r>
      <w:r w:rsidRPr="008E2DD7">
        <w:rPr>
          <w:rFonts w:ascii="Times New Roman" w:eastAsia="標楷體" w:hAnsi="Times New Roman" w:cs="Times New Roman"/>
          <w:b/>
        </w:rPr>
        <w:t>IFRS</w:t>
      </w:r>
      <w:r w:rsidRPr="008E2DD7">
        <w:rPr>
          <w:rFonts w:ascii="Times New Roman" w:eastAsia="標楷體" w:hAnsi="Times New Roman" w:cs="Times New Roman" w:hint="eastAsia"/>
          <w:b/>
        </w:rPr>
        <w:t>編製之合併自結數字，未經會計師查核簽證，因此可能與會計師查核結果存有差異，請投資人於參考時審慎評估。</w:t>
      </w:r>
    </w:p>
    <w:p w:rsidR="00415792" w:rsidRPr="008E2DD7"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8E2DD7">
        <w:rPr>
          <w:rFonts w:ascii="Times New Roman" w:eastAsia="標楷體" w:hAnsi="Times New Roman" w:cs="Times New Roman" w:hint="eastAsia"/>
          <w:b/>
        </w:rPr>
        <w:t>註</w:t>
      </w:r>
      <w:r w:rsidRPr="008E2DD7">
        <w:rPr>
          <w:rFonts w:ascii="Times New Roman" w:eastAsia="標楷體" w:hAnsi="Times New Roman" w:cs="Times New Roman"/>
          <w:b/>
        </w:rPr>
        <w:t>2</w:t>
      </w:r>
      <w:r w:rsidRPr="008E2DD7">
        <w:rPr>
          <w:rFonts w:ascii="Times New Roman" w:eastAsia="標楷體" w:hAnsi="Times New Roman" w:cs="Times New Roman" w:hint="eastAsia"/>
          <w:b/>
        </w:rPr>
        <w:t>：上開財務資訊</w:t>
      </w:r>
      <w:r w:rsidRPr="008E2DD7">
        <w:rPr>
          <w:rFonts w:ascii="Times New Roman" w:eastAsia="標楷體" w:hAnsi="Times New Roman" w:cs="Times New Roman"/>
          <w:b/>
        </w:rPr>
        <w:t>101-102</w:t>
      </w:r>
      <w:r w:rsidRPr="008E2DD7">
        <w:rPr>
          <w:rFonts w:ascii="Times New Roman" w:eastAsia="標楷體" w:hAnsi="Times New Roman" w:cs="Times New Roman" w:hint="eastAsia"/>
          <w:b/>
        </w:rPr>
        <w:t>年度係依據</w:t>
      </w:r>
      <w:r w:rsidRPr="008E2DD7">
        <w:rPr>
          <w:rFonts w:ascii="Times New Roman" w:eastAsia="標楷體" w:hAnsi="Times New Roman" w:cs="Times New Roman"/>
          <w:b/>
        </w:rPr>
        <w:t>ROC GAAP</w:t>
      </w:r>
      <w:r w:rsidRPr="008E2DD7">
        <w:rPr>
          <w:rFonts w:ascii="Times New Roman" w:eastAsia="標楷體" w:hAnsi="Times New Roman" w:cs="Times New Roman" w:hint="eastAsia"/>
          <w:b/>
        </w:rPr>
        <w:t>編製之合併財務報表填列，業經會計師查核簽證。</w:t>
      </w:r>
    </w:p>
    <w:p w:rsidR="00415792" w:rsidRPr="008E2DD7"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8E2DD7">
        <w:rPr>
          <w:rFonts w:ascii="Times New Roman" w:eastAsia="標楷體" w:hAnsi="Times New Roman" w:cs="Times New Roman" w:hint="eastAsia"/>
          <w:b/>
        </w:rPr>
        <w:t>註</w:t>
      </w:r>
      <w:r w:rsidRPr="008E2DD7">
        <w:rPr>
          <w:rFonts w:ascii="Times New Roman" w:eastAsia="標楷體" w:hAnsi="Times New Roman" w:cs="Times New Roman"/>
          <w:b/>
        </w:rPr>
        <w:t>3</w:t>
      </w:r>
      <w:r w:rsidRPr="008E2DD7">
        <w:rPr>
          <w:rFonts w:ascii="Times New Roman" w:eastAsia="標楷體" w:hAnsi="Times New Roman" w:cs="Times New Roman" w:hint="eastAsia"/>
          <w:b/>
        </w:rPr>
        <w:t>：本公司於</w:t>
      </w:r>
      <w:r w:rsidRPr="008E2DD7">
        <w:rPr>
          <w:rFonts w:ascii="Times New Roman" w:eastAsia="標楷體" w:hAnsi="Times New Roman" w:cs="Times New Roman"/>
          <w:b/>
        </w:rPr>
        <w:t>100</w:t>
      </w:r>
      <w:r w:rsidRPr="008E2DD7">
        <w:rPr>
          <w:rFonts w:ascii="Times New Roman" w:eastAsia="標楷體" w:hAnsi="Times New Roman" w:cs="Times New Roman" w:hint="eastAsia"/>
          <w:b/>
        </w:rPr>
        <w:t>年度無子公司，無須編製合併報表，部分財務比率無法計算。</w:t>
      </w:r>
    </w:p>
    <w:p w:rsidR="00415792" w:rsidRPr="003F1079"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3F1079">
        <w:rPr>
          <w:rFonts w:ascii="Times New Roman" w:eastAsia="標楷體" w:hAnsi="Times New Roman" w:cs="Times New Roman" w:hint="eastAsia"/>
          <w:b/>
        </w:rPr>
        <w:t>註</w:t>
      </w:r>
      <w:r w:rsidRPr="003F1079">
        <w:rPr>
          <w:rFonts w:ascii="Times New Roman" w:eastAsia="標楷體" w:hAnsi="Times New Roman" w:cs="Times New Roman"/>
          <w:b/>
        </w:rPr>
        <w:t>4</w:t>
      </w:r>
      <w:r w:rsidRPr="003F1079">
        <w:rPr>
          <w:rFonts w:ascii="Times New Roman" w:eastAsia="標楷體" w:hAnsi="Times New Roman" w:cs="Times New Roman" w:hint="eastAsia"/>
          <w:b/>
        </w:rPr>
        <w:t>：本公司於</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w:t>
      </w:r>
      <w:r w:rsidRPr="003F1079">
        <w:rPr>
          <w:rFonts w:ascii="Times New Roman" w:eastAsia="標楷體" w:hAnsi="Times New Roman" w:cs="Times New Roman"/>
          <w:b/>
        </w:rPr>
        <w:t>11</w:t>
      </w:r>
      <w:r w:rsidRPr="003F1079">
        <w:rPr>
          <w:rFonts w:ascii="Times New Roman" w:eastAsia="標楷體" w:hAnsi="Times New Roman" w:cs="Times New Roman" w:hint="eastAsia"/>
          <w:b/>
        </w:rPr>
        <w:t>月</w:t>
      </w:r>
      <w:r w:rsidRPr="003F1079">
        <w:rPr>
          <w:rFonts w:ascii="Times New Roman" w:eastAsia="標楷體" w:hAnsi="Times New Roman" w:cs="Times New Roman"/>
          <w:b/>
        </w:rPr>
        <w:t>27</w:t>
      </w:r>
      <w:r w:rsidRPr="003F1079">
        <w:rPr>
          <w:rFonts w:ascii="Times New Roman" w:eastAsia="標楷體" w:hAnsi="Times New Roman" w:cs="Times New Roman" w:hint="eastAsia"/>
          <w:b/>
        </w:rPr>
        <w:t>日為基準日進行組織架構重組後，直接持有東山林公司股權</w:t>
      </w:r>
      <w:r w:rsidRPr="003F1079">
        <w:rPr>
          <w:rFonts w:ascii="Times New Roman" w:eastAsia="標楷體" w:hAnsi="Times New Roman" w:cs="Times New Roman"/>
          <w:b/>
        </w:rPr>
        <w:t>100%</w:t>
      </w:r>
      <w:r w:rsidRPr="003F1079">
        <w:rPr>
          <w:rFonts w:ascii="Times New Roman" w:eastAsia="標楷體" w:hAnsi="Times New Roman" w:cs="Times New Roman" w:hint="eastAsia"/>
          <w:b/>
        </w:rPr>
        <w:t>及綠山林公司股權</w:t>
      </w:r>
      <w:r w:rsidRPr="003F1079">
        <w:rPr>
          <w:rFonts w:ascii="Times New Roman" w:eastAsia="標楷體" w:hAnsi="Times New Roman" w:cs="Times New Roman"/>
          <w:b/>
        </w:rPr>
        <w:t>70%</w:t>
      </w:r>
      <w:r w:rsidRPr="003F1079">
        <w:rPr>
          <w:rFonts w:ascii="Times New Roman" w:eastAsia="標楷體" w:hAnsi="Times New Roman" w:cs="Times New Roman" w:hint="eastAsia"/>
          <w:b/>
        </w:rPr>
        <w:t>，依照中華民國會計研究發展基金會</w:t>
      </w:r>
      <w:r w:rsidRPr="003F1079">
        <w:rPr>
          <w:rFonts w:ascii="Times New Roman" w:eastAsia="標楷體" w:hAnsi="Times New Roman" w:cs="Times New Roman"/>
          <w:b/>
        </w:rPr>
        <w:t>(95)</w:t>
      </w:r>
      <w:r w:rsidRPr="003F1079">
        <w:rPr>
          <w:rFonts w:ascii="Times New Roman" w:eastAsia="標楷體" w:hAnsi="Times New Roman" w:cs="Times New Roman" w:hint="eastAsia"/>
          <w:b/>
        </w:rPr>
        <w:t>基祕字第</w:t>
      </w:r>
      <w:r w:rsidRPr="003F1079">
        <w:rPr>
          <w:rFonts w:ascii="Times New Roman" w:eastAsia="標楷體" w:hAnsi="Times New Roman" w:cs="Times New Roman"/>
          <w:b/>
        </w:rPr>
        <w:t>141</w:t>
      </w:r>
      <w:r w:rsidRPr="003F1079">
        <w:rPr>
          <w:rFonts w:ascii="Times New Roman" w:eastAsia="標楷體" w:hAnsi="Times New Roman" w:cs="Times New Roman" w:hint="eastAsia"/>
          <w:b/>
        </w:rPr>
        <w:t>號函及</w:t>
      </w:r>
      <w:r w:rsidRPr="003F1079">
        <w:rPr>
          <w:rFonts w:ascii="Times New Roman" w:eastAsia="標楷體" w:hAnsi="Times New Roman" w:cs="Times New Roman"/>
          <w:b/>
        </w:rPr>
        <w:t>(101)</w:t>
      </w:r>
      <w:r w:rsidRPr="003F1079">
        <w:rPr>
          <w:rFonts w:ascii="Times New Roman" w:eastAsia="標楷體" w:hAnsi="Times New Roman" w:cs="Times New Roman" w:hint="eastAsia"/>
          <w:b/>
        </w:rPr>
        <w:t>基祕字</w:t>
      </w:r>
      <w:bookmarkStart w:id="6" w:name="_GoBack"/>
      <w:bookmarkEnd w:id="6"/>
      <w:r w:rsidRPr="003F1079">
        <w:rPr>
          <w:rFonts w:ascii="Times New Roman" w:eastAsia="標楷體" w:hAnsi="Times New Roman" w:cs="Times New Roman" w:hint="eastAsia"/>
          <w:b/>
        </w:rPr>
        <w:t>第</w:t>
      </w:r>
      <w:r w:rsidRPr="003F1079">
        <w:rPr>
          <w:rFonts w:ascii="Times New Roman" w:eastAsia="標楷體" w:hAnsi="Times New Roman" w:cs="Times New Roman"/>
          <w:b/>
        </w:rPr>
        <w:t>301</w:t>
      </w:r>
      <w:r w:rsidRPr="003F1079">
        <w:rPr>
          <w:rFonts w:ascii="Times New Roman" w:eastAsia="標楷體" w:hAnsi="Times New Roman" w:cs="Times New Roman" w:hint="eastAsia"/>
          <w:b/>
        </w:rPr>
        <w:t>號函之規定，將子公司視為自始合併，故</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年度財務報告追溯調整認列損益為民國</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w:t>
      </w:r>
      <w:r w:rsidRPr="003F1079">
        <w:rPr>
          <w:rFonts w:ascii="Times New Roman" w:eastAsia="標楷體" w:hAnsi="Times New Roman" w:cs="Times New Roman"/>
          <w:b/>
        </w:rPr>
        <w:t>1</w:t>
      </w:r>
      <w:r w:rsidRPr="003F1079">
        <w:rPr>
          <w:rFonts w:ascii="Times New Roman" w:eastAsia="標楷體" w:hAnsi="Times New Roman" w:cs="Times New Roman" w:hint="eastAsia"/>
          <w:b/>
        </w:rPr>
        <w:t>月</w:t>
      </w:r>
      <w:r w:rsidRPr="003F1079">
        <w:rPr>
          <w:rFonts w:ascii="Times New Roman" w:eastAsia="標楷體" w:hAnsi="Times New Roman" w:cs="Times New Roman"/>
          <w:b/>
        </w:rPr>
        <w:t>1</w:t>
      </w:r>
      <w:r w:rsidRPr="003F1079">
        <w:rPr>
          <w:rFonts w:ascii="Times New Roman" w:eastAsia="標楷體" w:hAnsi="Times New Roman" w:cs="Times New Roman" w:hint="eastAsia"/>
          <w:b/>
        </w:rPr>
        <w:t>日至民國</w:t>
      </w:r>
      <w:r w:rsidRPr="003F1079">
        <w:rPr>
          <w:rFonts w:ascii="Times New Roman" w:eastAsia="標楷體" w:hAnsi="Times New Roman" w:cs="Times New Roman"/>
          <w:b/>
        </w:rPr>
        <w:t>102</w:t>
      </w:r>
      <w:r w:rsidRPr="003F1079">
        <w:rPr>
          <w:rFonts w:ascii="Times New Roman" w:eastAsia="標楷體" w:hAnsi="Times New Roman" w:cs="Times New Roman" w:hint="eastAsia"/>
          <w:b/>
        </w:rPr>
        <w:t>年</w:t>
      </w:r>
      <w:r w:rsidRPr="003F1079">
        <w:rPr>
          <w:rFonts w:ascii="Times New Roman" w:eastAsia="標楷體" w:hAnsi="Times New Roman" w:cs="Times New Roman"/>
          <w:b/>
        </w:rPr>
        <w:t>12</w:t>
      </w:r>
      <w:r w:rsidRPr="003F1079">
        <w:rPr>
          <w:rFonts w:ascii="Times New Roman" w:eastAsia="標楷體" w:hAnsi="Times New Roman" w:cs="Times New Roman" w:hint="eastAsia"/>
          <w:b/>
        </w:rPr>
        <w:t>月</w:t>
      </w:r>
      <w:r w:rsidRPr="003F1079">
        <w:rPr>
          <w:rFonts w:ascii="Times New Roman" w:eastAsia="標楷體" w:hAnsi="Times New Roman" w:cs="Times New Roman"/>
          <w:b/>
        </w:rPr>
        <w:t>31</w:t>
      </w:r>
      <w:r w:rsidRPr="003F1079">
        <w:rPr>
          <w:rFonts w:ascii="Times New Roman" w:eastAsia="標楷體" w:hAnsi="Times New Roman" w:cs="Times New Roman" w:hint="eastAsia"/>
          <w:b/>
        </w:rPr>
        <w:t>日。</w:t>
      </w:r>
    </w:p>
    <w:p w:rsidR="00415792" w:rsidRPr="003F1079" w:rsidRDefault="00415792" w:rsidP="003F1079">
      <w:pPr>
        <w:pStyle w:val="NormalWeb"/>
        <w:widowControl w:val="0"/>
        <w:spacing w:before="0" w:beforeAutospacing="0" w:after="0" w:afterAutospacing="0"/>
        <w:ind w:left="629" w:hanging="680"/>
        <w:rPr>
          <w:rFonts w:ascii="Times New Roman" w:eastAsia="標楷體" w:hAnsi="Times New Roman" w:cs="Times New Roman"/>
          <w:b/>
        </w:rPr>
      </w:pPr>
      <w:r w:rsidRPr="003F1079">
        <w:rPr>
          <w:rFonts w:ascii="Times New Roman" w:eastAsia="標楷體" w:hAnsi="Times New Roman" w:cs="Times New Roman" w:hint="eastAsia"/>
          <w:b/>
        </w:rPr>
        <w:t>註</w:t>
      </w:r>
      <w:r w:rsidRPr="003F1079">
        <w:rPr>
          <w:rFonts w:ascii="Times New Roman" w:eastAsia="標楷體" w:hAnsi="Times New Roman" w:cs="Times New Roman"/>
          <w:b/>
        </w:rPr>
        <w:t>5</w:t>
      </w:r>
      <w:r w:rsidRPr="003F1079">
        <w:rPr>
          <w:rFonts w:ascii="Times New Roman" w:eastAsia="標楷體" w:hAnsi="Times New Roman" w:cs="Times New Roman" w:hint="eastAsia"/>
          <w:b/>
        </w:rPr>
        <w:t>：</w:t>
      </w:r>
      <w:r w:rsidRPr="00312A01">
        <w:rPr>
          <w:rFonts w:ascii="Times New Roman" w:eastAsia="標楷體" w:hAnsi="Times New Roman" w:cs="Times New Roman" w:hint="eastAsia"/>
          <w:b/>
        </w:rPr>
        <w:t>因</w:t>
      </w:r>
      <w:r w:rsidRPr="00312A01">
        <w:rPr>
          <w:rFonts w:ascii="Times New Roman" w:eastAsia="標楷體" w:hAnsi="Times New Roman" w:cs="Times New Roman"/>
          <w:b/>
        </w:rPr>
        <w:t>103</w:t>
      </w:r>
      <w:r w:rsidRPr="00312A01">
        <w:rPr>
          <w:rFonts w:ascii="Times New Roman" w:eastAsia="標楷體" w:hAnsi="Times New Roman" w:cs="Times New Roman" w:hint="eastAsia"/>
          <w:b/>
        </w:rPr>
        <w:t>年度採用</w:t>
      </w:r>
      <w:r w:rsidRPr="00312A01">
        <w:rPr>
          <w:rFonts w:ascii="Times New Roman" w:eastAsia="標楷體" w:hAnsi="Times New Roman" w:cs="Times New Roman"/>
          <w:b/>
        </w:rPr>
        <w:t>IFRS</w:t>
      </w:r>
      <w:r w:rsidRPr="00312A01">
        <w:rPr>
          <w:rFonts w:ascii="Times New Roman" w:eastAsia="標楷體" w:hAnsi="Times New Roman" w:cs="Times New Roman" w:hint="eastAsia"/>
          <w:b/>
        </w:rPr>
        <w:t>編製財務報表，會計分類上並無存貨科目</w:t>
      </w:r>
      <w:r w:rsidRPr="003F1079">
        <w:rPr>
          <w:rFonts w:ascii="Times New Roman" w:eastAsia="標楷體" w:hAnsi="Times New Roman" w:cs="Times New Roman" w:hint="eastAsia"/>
          <w:b/>
        </w:rPr>
        <w:t>。</w:t>
      </w:r>
    </w:p>
    <w:p w:rsidR="00415792" w:rsidRPr="008E2DD7" w:rsidRDefault="00415792" w:rsidP="00E1564B">
      <w:pPr>
        <w:pStyle w:val="NormalWeb"/>
        <w:widowControl w:val="0"/>
        <w:spacing w:before="0" w:beforeAutospacing="0" w:after="0" w:afterAutospacing="0"/>
        <w:ind w:left="31680" w:hangingChars="285" w:firstLine="31680"/>
        <w:rPr>
          <w:rFonts w:ascii="Times New Roman" w:eastAsia="標楷體" w:hAnsi="Times New Roman" w:cs="Times New Roman"/>
          <w:kern w:val="2"/>
        </w:rPr>
      </w:pPr>
    </w:p>
    <w:p w:rsidR="00415792" w:rsidRPr="008E2DD7" w:rsidRDefault="00415792" w:rsidP="00E57429">
      <w:pPr>
        <w:jc w:val="both"/>
        <w:rPr>
          <w:rFonts w:eastAsia="標楷體"/>
        </w:rPr>
      </w:pPr>
      <w:r w:rsidRPr="008E2DD7">
        <w:rPr>
          <w:rFonts w:eastAsia="標楷體"/>
        </w:rPr>
        <w:t xml:space="preserve">                                                                          </w:t>
      </w:r>
      <w:hyperlink w:anchor="第一頁" w:history="1">
        <w:r w:rsidRPr="00CA0603">
          <w:rPr>
            <w:rFonts w:eastAsia="標楷體"/>
            <w:noProof/>
          </w:rPr>
          <w:pict>
            <v:shape id="圖片 9" o:spid="_x0000_i1032" type="#_x0000_t75" alt="icon_top" href="#2A" style="width:32.25pt;height:12pt;visibility:visible" o:button="t">
              <v:fill o:detectmouseclick="t"/>
              <v:imagedata r:id="rId9" o:title=""/>
            </v:shape>
          </w:pict>
        </w:r>
      </w:hyperlink>
    </w:p>
    <w:p w:rsidR="00415792" w:rsidRPr="008E2DD7" w:rsidRDefault="00415792" w:rsidP="00E57429">
      <w:pPr>
        <w:rPr>
          <w:rFonts w:eastAsia="標楷體"/>
          <w:color w:val="FE8531"/>
          <w:sz w:val="20"/>
          <w:szCs w:val="20"/>
        </w:rPr>
      </w:pPr>
      <w:r w:rsidRPr="008E2DD7">
        <w:rPr>
          <w:rFonts w:eastAsia="標楷體" w:hint="eastAsia"/>
          <w:color w:val="FF6600"/>
          <w:sz w:val="20"/>
          <w:szCs w:val="20"/>
        </w:rPr>
        <w:t>投資人若欲查詢該公司更詳細之資料請連結至</w:t>
      </w:r>
      <w:hyperlink r:id="rId11" w:history="1">
        <w:r w:rsidRPr="008E2DD7">
          <w:rPr>
            <w:rStyle w:val="Hyperlink"/>
            <w:rFonts w:eastAsia="標楷體" w:hint="eastAsia"/>
            <w:color w:val="3366FF"/>
            <w:sz w:val="20"/>
            <w:szCs w:val="20"/>
          </w:rPr>
          <w:t>公開資訊觀測站</w:t>
        </w:r>
      </w:hyperlink>
      <w:r w:rsidRPr="008E2DD7">
        <w:rPr>
          <w:rFonts w:eastAsia="標楷體"/>
          <w:color w:val="FF6600"/>
          <w:sz w:val="20"/>
          <w:szCs w:val="20"/>
        </w:rPr>
        <w:t>!!</w:t>
      </w:r>
    </w:p>
    <w:p w:rsidR="00415792" w:rsidRPr="008E2DD7" w:rsidRDefault="00415792">
      <w:pPr>
        <w:rPr>
          <w:rFonts w:eastAsia="標楷體"/>
          <w:color w:val="FE8531"/>
          <w:sz w:val="20"/>
          <w:szCs w:val="20"/>
        </w:rPr>
      </w:pPr>
    </w:p>
    <w:p w:rsidR="00415792" w:rsidRPr="008E2DD7" w:rsidRDefault="00415792">
      <w:pPr>
        <w:rPr>
          <w:rFonts w:eastAsia="標楷體"/>
          <w:color w:val="FE8531"/>
          <w:sz w:val="20"/>
          <w:szCs w:val="20"/>
        </w:rPr>
      </w:pPr>
    </w:p>
    <w:p w:rsidR="00415792" w:rsidRPr="008E2DD7" w:rsidRDefault="00415792">
      <w:pPr>
        <w:rPr>
          <w:rFonts w:eastAsia="標楷體"/>
          <w:color w:val="FE8531"/>
          <w:sz w:val="20"/>
          <w:szCs w:val="20"/>
        </w:rPr>
      </w:pPr>
    </w:p>
    <w:sectPr w:rsidR="00415792" w:rsidRPr="008E2DD7" w:rsidSect="00281B66">
      <w:footerReference w:type="even" r:id="rId12"/>
      <w:footerReference w:type="default" r:id="rId13"/>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92" w:rsidRDefault="00415792">
      <w:r>
        <w:separator/>
      </w:r>
    </w:p>
  </w:endnote>
  <w:endnote w:type="continuationSeparator" w:id="0">
    <w:p w:rsidR="00415792" w:rsidRDefault="00415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全真楷書">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92" w:rsidRDefault="00415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792" w:rsidRDefault="00415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92" w:rsidRDefault="00415792">
    <w:pPr>
      <w:pStyle w:val="Footer"/>
      <w:jc w:val="center"/>
    </w:pPr>
    <w:fldSimple w:instr="PAGE   \* MERGEFORMAT">
      <w:r w:rsidRPr="00E1564B">
        <w:rPr>
          <w:noProof/>
          <w:lang w:val="zh-TW"/>
        </w:rPr>
        <w:t>11</w:t>
      </w:r>
    </w:fldSimple>
  </w:p>
  <w:p w:rsidR="00415792" w:rsidRDefault="00415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92" w:rsidRDefault="00415792">
      <w:r>
        <w:separator/>
      </w:r>
    </w:p>
  </w:footnote>
  <w:footnote w:type="continuationSeparator" w:id="0">
    <w:p w:rsidR="00415792" w:rsidRDefault="00415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o:bullet="t">
        <v:imagedata r:id="rId1" o:title=""/>
      </v:shape>
    </w:pict>
  </w:numPicBullet>
  <w:numPicBullet w:numPicBulletId="1">
    <w:pict>
      <v:shape id="_x0000_i1026" type="#_x0000_t75" style="width:11.25pt;height:11.25pt" o:bullet="t">
        <v:imagedata r:id="rId2" o:title=""/>
      </v:shape>
    </w:pict>
  </w:numPicBullet>
  <w:abstractNum w:abstractNumId="0">
    <w:nsid w:val="112C757E"/>
    <w:multiLevelType w:val="hybridMultilevel"/>
    <w:tmpl w:val="EA021484"/>
    <w:lvl w:ilvl="0" w:tplc="A49A1B04">
      <w:start w:val="1"/>
      <w:numFmt w:val="decimal"/>
      <w:lvlText w:val="%1."/>
      <w:lvlJc w:val="left"/>
      <w:pPr>
        <w:ind w:left="284" w:hanging="2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nsid w:val="34E606A8"/>
    <w:multiLevelType w:val="hybridMultilevel"/>
    <w:tmpl w:val="FC7A6AC8"/>
    <w:lvl w:ilvl="0" w:tplc="04090001">
      <w:start w:val="1"/>
      <w:numFmt w:val="bullet"/>
      <w:lvlText w:val=""/>
      <w:lvlJc w:val="left"/>
      <w:pPr>
        <w:ind w:left="912"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F0F5E38"/>
    <w:multiLevelType w:val="hybridMultilevel"/>
    <w:tmpl w:val="320435C4"/>
    <w:lvl w:ilvl="0" w:tplc="04090011">
      <w:start w:val="1"/>
      <w:numFmt w:val="upperLetter"/>
      <w:lvlText w:val="%1."/>
      <w:lvlJc w:val="left"/>
      <w:pPr>
        <w:ind w:left="2100" w:hanging="480"/>
      </w:pPr>
      <w:rPr>
        <w:rFonts w:cs="Times New Roman"/>
      </w:rPr>
    </w:lvl>
    <w:lvl w:ilvl="1" w:tplc="04090019" w:tentative="1">
      <w:start w:val="1"/>
      <w:numFmt w:val="ideographTraditional"/>
      <w:lvlText w:val="%2、"/>
      <w:lvlJc w:val="left"/>
      <w:pPr>
        <w:ind w:left="2580" w:hanging="480"/>
      </w:pPr>
      <w:rPr>
        <w:rFonts w:cs="Times New Roman"/>
      </w:rPr>
    </w:lvl>
    <w:lvl w:ilvl="2" w:tplc="0409001B" w:tentative="1">
      <w:start w:val="1"/>
      <w:numFmt w:val="lowerRoman"/>
      <w:lvlText w:val="%3."/>
      <w:lvlJc w:val="right"/>
      <w:pPr>
        <w:ind w:left="3060" w:hanging="480"/>
      </w:pPr>
      <w:rPr>
        <w:rFonts w:cs="Times New Roman"/>
      </w:rPr>
    </w:lvl>
    <w:lvl w:ilvl="3" w:tplc="0409000F" w:tentative="1">
      <w:start w:val="1"/>
      <w:numFmt w:val="decimal"/>
      <w:lvlText w:val="%4."/>
      <w:lvlJc w:val="left"/>
      <w:pPr>
        <w:ind w:left="3540" w:hanging="480"/>
      </w:pPr>
      <w:rPr>
        <w:rFonts w:cs="Times New Roman"/>
      </w:rPr>
    </w:lvl>
    <w:lvl w:ilvl="4" w:tplc="04090019" w:tentative="1">
      <w:start w:val="1"/>
      <w:numFmt w:val="ideographTraditional"/>
      <w:lvlText w:val="%5、"/>
      <w:lvlJc w:val="left"/>
      <w:pPr>
        <w:ind w:left="4020" w:hanging="480"/>
      </w:pPr>
      <w:rPr>
        <w:rFonts w:cs="Times New Roman"/>
      </w:rPr>
    </w:lvl>
    <w:lvl w:ilvl="5" w:tplc="0409001B" w:tentative="1">
      <w:start w:val="1"/>
      <w:numFmt w:val="lowerRoman"/>
      <w:lvlText w:val="%6."/>
      <w:lvlJc w:val="right"/>
      <w:pPr>
        <w:ind w:left="4500" w:hanging="480"/>
      </w:pPr>
      <w:rPr>
        <w:rFonts w:cs="Times New Roman"/>
      </w:rPr>
    </w:lvl>
    <w:lvl w:ilvl="6" w:tplc="0409000F" w:tentative="1">
      <w:start w:val="1"/>
      <w:numFmt w:val="decimal"/>
      <w:lvlText w:val="%7."/>
      <w:lvlJc w:val="left"/>
      <w:pPr>
        <w:ind w:left="4980" w:hanging="480"/>
      </w:pPr>
      <w:rPr>
        <w:rFonts w:cs="Times New Roman"/>
      </w:rPr>
    </w:lvl>
    <w:lvl w:ilvl="7" w:tplc="04090019" w:tentative="1">
      <w:start w:val="1"/>
      <w:numFmt w:val="ideographTraditional"/>
      <w:lvlText w:val="%8、"/>
      <w:lvlJc w:val="left"/>
      <w:pPr>
        <w:ind w:left="5460" w:hanging="480"/>
      </w:pPr>
      <w:rPr>
        <w:rFonts w:cs="Times New Roman"/>
      </w:rPr>
    </w:lvl>
    <w:lvl w:ilvl="8" w:tplc="0409001B" w:tentative="1">
      <w:start w:val="1"/>
      <w:numFmt w:val="lowerRoman"/>
      <w:lvlText w:val="%9."/>
      <w:lvlJc w:val="right"/>
      <w:pPr>
        <w:ind w:left="5940" w:hanging="480"/>
      </w:pPr>
      <w:rPr>
        <w:rFonts w:cs="Times New Roman"/>
      </w:rPr>
    </w:lvl>
  </w:abstractNum>
  <w:abstractNum w:abstractNumId="5">
    <w:nsid w:val="6CBB143B"/>
    <w:multiLevelType w:val="hybridMultilevel"/>
    <w:tmpl w:val="AE10204C"/>
    <w:lvl w:ilvl="0" w:tplc="04090001">
      <w:start w:val="1"/>
      <w:numFmt w:val="bullet"/>
      <w:lvlText w:val=""/>
      <w:lvlJc w:val="left"/>
      <w:pPr>
        <w:ind w:left="14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8A"/>
    <w:rsid w:val="000011B1"/>
    <w:rsid w:val="0000593C"/>
    <w:rsid w:val="00015828"/>
    <w:rsid w:val="00024628"/>
    <w:rsid w:val="00030DFF"/>
    <w:rsid w:val="00034257"/>
    <w:rsid w:val="00034473"/>
    <w:rsid w:val="00043675"/>
    <w:rsid w:val="000536D0"/>
    <w:rsid w:val="00057FBE"/>
    <w:rsid w:val="00084959"/>
    <w:rsid w:val="00096FE3"/>
    <w:rsid w:val="000A02A2"/>
    <w:rsid w:val="000B2315"/>
    <w:rsid w:val="000C00B7"/>
    <w:rsid w:val="000C0CDF"/>
    <w:rsid w:val="000D3EE5"/>
    <w:rsid w:val="000F2025"/>
    <w:rsid w:val="001041D8"/>
    <w:rsid w:val="001120B0"/>
    <w:rsid w:val="00113A23"/>
    <w:rsid w:val="00115D14"/>
    <w:rsid w:val="00121AB0"/>
    <w:rsid w:val="0013390A"/>
    <w:rsid w:val="001406F3"/>
    <w:rsid w:val="001406F9"/>
    <w:rsid w:val="001473E2"/>
    <w:rsid w:val="0015464F"/>
    <w:rsid w:val="00161123"/>
    <w:rsid w:val="00166C94"/>
    <w:rsid w:val="00167411"/>
    <w:rsid w:val="00181B1C"/>
    <w:rsid w:val="00185324"/>
    <w:rsid w:val="00185FED"/>
    <w:rsid w:val="00187B8A"/>
    <w:rsid w:val="00190D9F"/>
    <w:rsid w:val="0019438A"/>
    <w:rsid w:val="001947FD"/>
    <w:rsid w:val="001A20C9"/>
    <w:rsid w:val="001A4E6F"/>
    <w:rsid w:val="001B24A4"/>
    <w:rsid w:val="001B293E"/>
    <w:rsid w:val="001C389A"/>
    <w:rsid w:val="001D06BD"/>
    <w:rsid w:val="001D2FD8"/>
    <w:rsid w:val="001F21FF"/>
    <w:rsid w:val="001F23C1"/>
    <w:rsid w:val="001F3FA9"/>
    <w:rsid w:val="001F457D"/>
    <w:rsid w:val="0020043D"/>
    <w:rsid w:val="002064B8"/>
    <w:rsid w:val="00217733"/>
    <w:rsid w:val="002278AF"/>
    <w:rsid w:val="00255FA2"/>
    <w:rsid w:val="00257226"/>
    <w:rsid w:val="002676CE"/>
    <w:rsid w:val="00270437"/>
    <w:rsid w:val="00275872"/>
    <w:rsid w:val="00281B66"/>
    <w:rsid w:val="002874A9"/>
    <w:rsid w:val="002915EC"/>
    <w:rsid w:val="0029652B"/>
    <w:rsid w:val="00296A7C"/>
    <w:rsid w:val="002A7AFA"/>
    <w:rsid w:val="002B7B1F"/>
    <w:rsid w:val="002D1A12"/>
    <w:rsid w:val="002E0003"/>
    <w:rsid w:val="002E002F"/>
    <w:rsid w:val="002E01F0"/>
    <w:rsid w:val="002E2361"/>
    <w:rsid w:val="00300386"/>
    <w:rsid w:val="00300898"/>
    <w:rsid w:val="00312A01"/>
    <w:rsid w:val="003302E3"/>
    <w:rsid w:val="00333DBB"/>
    <w:rsid w:val="00336C25"/>
    <w:rsid w:val="00346FDC"/>
    <w:rsid w:val="00364887"/>
    <w:rsid w:val="00370F12"/>
    <w:rsid w:val="0037792C"/>
    <w:rsid w:val="00385C47"/>
    <w:rsid w:val="0039286E"/>
    <w:rsid w:val="003A0543"/>
    <w:rsid w:val="003A2E31"/>
    <w:rsid w:val="003A5883"/>
    <w:rsid w:val="003B7053"/>
    <w:rsid w:val="003C166A"/>
    <w:rsid w:val="003C5136"/>
    <w:rsid w:val="003D5C6E"/>
    <w:rsid w:val="003F1079"/>
    <w:rsid w:val="00413657"/>
    <w:rsid w:val="00414F8C"/>
    <w:rsid w:val="00415792"/>
    <w:rsid w:val="00416D02"/>
    <w:rsid w:val="004303A3"/>
    <w:rsid w:val="00433D7F"/>
    <w:rsid w:val="0043568C"/>
    <w:rsid w:val="0043714B"/>
    <w:rsid w:val="00442255"/>
    <w:rsid w:val="00450F2B"/>
    <w:rsid w:val="004570E1"/>
    <w:rsid w:val="004601D7"/>
    <w:rsid w:val="0047060B"/>
    <w:rsid w:val="004756AA"/>
    <w:rsid w:val="0048635D"/>
    <w:rsid w:val="0048672C"/>
    <w:rsid w:val="00494716"/>
    <w:rsid w:val="004A2572"/>
    <w:rsid w:val="004A4220"/>
    <w:rsid w:val="004A7339"/>
    <w:rsid w:val="004C027B"/>
    <w:rsid w:val="004C67F2"/>
    <w:rsid w:val="004C7511"/>
    <w:rsid w:val="004C7820"/>
    <w:rsid w:val="004D4BDF"/>
    <w:rsid w:val="004D4F4A"/>
    <w:rsid w:val="004D60EF"/>
    <w:rsid w:val="004D651B"/>
    <w:rsid w:val="004E3FDE"/>
    <w:rsid w:val="004E7BA8"/>
    <w:rsid w:val="00506FDF"/>
    <w:rsid w:val="005071DA"/>
    <w:rsid w:val="005145B7"/>
    <w:rsid w:val="00516D75"/>
    <w:rsid w:val="00516E80"/>
    <w:rsid w:val="00527E4F"/>
    <w:rsid w:val="00543F99"/>
    <w:rsid w:val="005532D8"/>
    <w:rsid w:val="00553CD3"/>
    <w:rsid w:val="00554262"/>
    <w:rsid w:val="00556C7C"/>
    <w:rsid w:val="0055716E"/>
    <w:rsid w:val="00561B6C"/>
    <w:rsid w:val="00563D1E"/>
    <w:rsid w:val="00580022"/>
    <w:rsid w:val="00596C93"/>
    <w:rsid w:val="00597944"/>
    <w:rsid w:val="005B7360"/>
    <w:rsid w:val="005E5746"/>
    <w:rsid w:val="005F4194"/>
    <w:rsid w:val="00606534"/>
    <w:rsid w:val="00611233"/>
    <w:rsid w:val="00611823"/>
    <w:rsid w:val="00615776"/>
    <w:rsid w:val="006241D2"/>
    <w:rsid w:val="00633CE5"/>
    <w:rsid w:val="006442A1"/>
    <w:rsid w:val="0064615F"/>
    <w:rsid w:val="00653D38"/>
    <w:rsid w:val="00664EDF"/>
    <w:rsid w:val="00691EC9"/>
    <w:rsid w:val="006B0756"/>
    <w:rsid w:val="006D021A"/>
    <w:rsid w:val="006D0DB5"/>
    <w:rsid w:val="006E10E5"/>
    <w:rsid w:val="006E1F22"/>
    <w:rsid w:val="006F0601"/>
    <w:rsid w:val="0072169B"/>
    <w:rsid w:val="00724899"/>
    <w:rsid w:val="0072590A"/>
    <w:rsid w:val="00726AA1"/>
    <w:rsid w:val="00732D17"/>
    <w:rsid w:val="007345C7"/>
    <w:rsid w:val="007433EE"/>
    <w:rsid w:val="0075215E"/>
    <w:rsid w:val="007536F0"/>
    <w:rsid w:val="007537B9"/>
    <w:rsid w:val="007609BE"/>
    <w:rsid w:val="007773F6"/>
    <w:rsid w:val="0077779D"/>
    <w:rsid w:val="007A3CFC"/>
    <w:rsid w:val="007A4CA6"/>
    <w:rsid w:val="007A75A3"/>
    <w:rsid w:val="007B23A8"/>
    <w:rsid w:val="007B6E55"/>
    <w:rsid w:val="007C3267"/>
    <w:rsid w:val="007D2A70"/>
    <w:rsid w:val="007E70EC"/>
    <w:rsid w:val="007E7C11"/>
    <w:rsid w:val="007F027A"/>
    <w:rsid w:val="007F5033"/>
    <w:rsid w:val="00802465"/>
    <w:rsid w:val="00803A94"/>
    <w:rsid w:val="00807E9B"/>
    <w:rsid w:val="00845D4E"/>
    <w:rsid w:val="00846415"/>
    <w:rsid w:val="00856635"/>
    <w:rsid w:val="00862CA6"/>
    <w:rsid w:val="00864F88"/>
    <w:rsid w:val="0087447D"/>
    <w:rsid w:val="00893DA1"/>
    <w:rsid w:val="008974C1"/>
    <w:rsid w:val="008B0C2A"/>
    <w:rsid w:val="008B30BB"/>
    <w:rsid w:val="008C6D5D"/>
    <w:rsid w:val="008D3BB1"/>
    <w:rsid w:val="008E108D"/>
    <w:rsid w:val="008E2DD7"/>
    <w:rsid w:val="008E31CE"/>
    <w:rsid w:val="008E74AF"/>
    <w:rsid w:val="008F3907"/>
    <w:rsid w:val="008F485E"/>
    <w:rsid w:val="009057E0"/>
    <w:rsid w:val="009303E0"/>
    <w:rsid w:val="009352AF"/>
    <w:rsid w:val="009537D1"/>
    <w:rsid w:val="00976071"/>
    <w:rsid w:val="0097783D"/>
    <w:rsid w:val="00990EDD"/>
    <w:rsid w:val="00993036"/>
    <w:rsid w:val="009A798D"/>
    <w:rsid w:val="009A79F1"/>
    <w:rsid w:val="009B0DC2"/>
    <w:rsid w:val="009B7212"/>
    <w:rsid w:val="009C6C2E"/>
    <w:rsid w:val="009D1481"/>
    <w:rsid w:val="009D22C6"/>
    <w:rsid w:val="009E0B1F"/>
    <w:rsid w:val="009F0A65"/>
    <w:rsid w:val="009F52E2"/>
    <w:rsid w:val="00A018D0"/>
    <w:rsid w:val="00A05F69"/>
    <w:rsid w:val="00A26AF4"/>
    <w:rsid w:val="00A274B4"/>
    <w:rsid w:val="00A277D2"/>
    <w:rsid w:val="00A3328C"/>
    <w:rsid w:val="00A3421B"/>
    <w:rsid w:val="00A3733A"/>
    <w:rsid w:val="00A3776F"/>
    <w:rsid w:val="00A40517"/>
    <w:rsid w:val="00A40836"/>
    <w:rsid w:val="00A82C18"/>
    <w:rsid w:val="00A92F7F"/>
    <w:rsid w:val="00A945EE"/>
    <w:rsid w:val="00AB7D46"/>
    <w:rsid w:val="00AD1F33"/>
    <w:rsid w:val="00AE1C5A"/>
    <w:rsid w:val="00AE398B"/>
    <w:rsid w:val="00AF1D4F"/>
    <w:rsid w:val="00AF1E34"/>
    <w:rsid w:val="00AF2E2B"/>
    <w:rsid w:val="00AF3A0B"/>
    <w:rsid w:val="00B0466E"/>
    <w:rsid w:val="00B26836"/>
    <w:rsid w:val="00B2764C"/>
    <w:rsid w:val="00B40A0A"/>
    <w:rsid w:val="00B44474"/>
    <w:rsid w:val="00B618C7"/>
    <w:rsid w:val="00B65607"/>
    <w:rsid w:val="00B711A2"/>
    <w:rsid w:val="00B72C7F"/>
    <w:rsid w:val="00BA57B5"/>
    <w:rsid w:val="00BB1D02"/>
    <w:rsid w:val="00BB57C3"/>
    <w:rsid w:val="00BE3CF2"/>
    <w:rsid w:val="00BE5CDF"/>
    <w:rsid w:val="00BF2B97"/>
    <w:rsid w:val="00BF35EC"/>
    <w:rsid w:val="00C065EF"/>
    <w:rsid w:val="00C62170"/>
    <w:rsid w:val="00C62A5C"/>
    <w:rsid w:val="00C62D45"/>
    <w:rsid w:val="00C63B64"/>
    <w:rsid w:val="00C72F3C"/>
    <w:rsid w:val="00C93FB5"/>
    <w:rsid w:val="00C95737"/>
    <w:rsid w:val="00CA05B9"/>
    <w:rsid w:val="00CA0603"/>
    <w:rsid w:val="00CB2CDD"/>
    <w:rsid w:val="00CB2DA1"/>
    <w:rsid w:val="00CB4931"/>
    <w:rsid w:val="00CC1D1B"/>
    <w:rsid w:val="00CC37B9"/>
    <w:rsid w:val="00CD70FE"/>
    <w:rsid w:val="00CE2D87"/>
    <w:rsid w:val="00D001D9"/>
    <w:rsid w:val="00D03BCA"/>
    <w:rsid w:val="00D047D1"/>
    <w:rsid w:val="00D078E9"/>
    <w:rsid w:val="00D22300"/>
    <w:rsid w:val="00D22FA1"/>
    <w:rsid w:val="00D27561"/>
    <w:rsid w:val="00D278F0"/>
    <w:rsid w:val="00D344AF"/>
    <w:rsid w:val="00D364AD"/>
    <w:rsid w:val="00D46BDB"/>
    <w:rsid w:val="00D57433"/>
    <w:rsid w:val="00D678B2"/>
    <w:rsid w:val="00D82103"/>
    <w:rsid w:val="00D8576B"/>
    <w:rsid w:val="00DA0286"/>
    <w:rsid w:val="00DA3592"/>
    <w:rsid w:val="00DA75FC"/>
    <w:rsid w:val="00DB020B"/>
    <w:rsid w:val="00DC6505"/>
    <w:rsid w:val="00DD106C"/>
    <w:rsid w:val="00DD3A80"/>
    <w:rsid w:val="00DE51CB"/>
    <w:rsid w:val="00DF4E13"/>
    <w:rsid w:val="00DF5EFC"/>
    <w:rsid w:val="00E002F6"/>
    <w:rsid w:val="00E11189"/>
    <w:rsid w:val="00E11692"/>
    <w:rsid w:val="00E12DF8"/>
    <w:rsid w:val="00E1564B"/>
    <w:rsid w:val="00E168B9"/>
    <w:rsid w:val="00E34188"/>
    <w:rsid w:val="00E47911"/>
    <w:rsid w:val="00E47A8A"/>
    <w:rsid w:val="00E47BFD"/>
    <w:rsid w:val="00E57429"/>
    <w:rsid w:val="00E6239A"/>
    <w:rsid w:val="00E63B17"/>
    <w:rsid w:val="00E6627E"/>
    <w:rsid w:val="00E854CB"/>
    <w:rsid w:val="00E87EB9"/>
    <w:rsid w:val="00E9150D"/>
    <w:rsid w:val="00E96206"/>
    <w:rsid w:val="00EA06DD"/>
    <w:rsid w:val="00EB3B74"/>
    <w:rsid w:val="00EC4138"/>
    <w:rsid w:val="00ED260F"/>
    <w:rsid w:val="00EF1003"/>
    <w:rsid w:val="00EF10AF"/>
    <w:rsid w:val="00EF3383"/>
    <w:rsid w:val="00EF60C1"/>
    <w:rsid w:val="00F033F5"/>
    <w:rsid w:val="00F23D95"/>
    <w:rsid w:val="00F36D52"/>
    <w:rsid w:val="00F52AF7"/>
    <w:rsid w:val="00F56BA7"/>
    <w:rsid w:val="00F7135D"/>
    <w:rsid w:val="00F94C92"/>
    <w:rsid w:val="00F97677"/>
    <w:rsid w:val="00F97EB6"/>
    <w:rsid w:val="00FA4986"/>
    <w:rsid w:val="00FA76FB"/>
    <w:rsid w:val="00FB07B3"/>
    <w:rsid w:val="00FD1CF9"/>
    <w:rsid w:val="00FE5A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1B66"/>
    <w:pPr>
      <w:widowControl w:val="0"/>
    </w:pPr>
    <w:rPr>
      <w:szCs w:val="24"/>
    </w:rPr>
  </w:style>
  <w:style w:type="paragraph" w:styleId="Heading1">
    <w:name w:val="heading 1"/>
    <w:basedOn w:val="Normal"/>
    <w:next w:val="Normal"/>
    <w:link w:val="Heading1Char"/>
    <w:uiPriority w:val="99"/>
    <w:qFormat/>
    <w:rsid w:val="00281B66"/>
    <w:pPr>
      <w:keepNext/>
      <w:outlineLvl w:val="0"/>
    </w:pPr>
    <w:rPr>
      <w:rFonts w:ascii="Cambria" w:hAnsi="Cambria"/>
      <w:b/>
      <w:bCs/>
      <w:kern w:val="52"/>
      <w:sz w:val="52"/>
      <w:szCs w:val="52"/>
    </w:rPr>
  </w:style>
  <w:style w:type="paragraph" w:styleId="Heading2">
    <w:name w:val="heading 2"/>
    <w:basedOn w:val="Normal"/>
    <w:next w:val="Normal"/>
    <w:link w:val="Heading2Char"/>
    <w:uiPriority w:val="99"/>
    <w:qFormat/>
    <w:rsid w:val="00281B66"/>
    <w:pPr>
      <w:keepNext/>
      <w:outlineLvl w:val="1"/>
    </w:pPr>
    <w:rPr>
      <w:rFonts w:ascii="Cambria" w:hAnsi="Cambria"/>
      <w:b/>
      <w:bCs/>
      <w:kern w:val="0"/>
      <w:sz w:val="48"/>
      <w:szCs w:val="48"/>
    </w:rPr>
  </w:style>
  <w:style w:type="paragraph" w:styleId="Heading3">
    <w:name w:val="heading 3"/>
    <w:basedOn w:val="Normal"/>
    <w:next w:val="Normal"/>
    <w:link w:val="Heading3Char"/>
    <w:uiPriority w:val="99"/>
    <w:qFormat/>
    <w:rsid w:val="00281B66"/>
    <w:pPr>
      <w:keepNext/>
      <w:outlineLvl w:val="2"/>
    </w:pPr>
    <w:rPr>
      <w:rFonts w:ascii="Cambria" w:hAnsi="Cambria"/>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57"/>
    <w:rPr>
      <w:rFonts w:ascii="Cambria" w:eastAsia="新細明體" w:hAnsi="Cambria" w:cs="Times New Roman"/>
      <w:b/>
      <w:kern w:val="52"/>
      <w:sz w:val="52"/>
    </w:rPr>
  </w:style>
  <w:style w:type="character" w:customStyle="1" w:styleId="Heading2Char">
    <w:name w:val="Heading 2 Char"/>
    <w:basedOn w:val="DefaultParagraphFont"/>
    <w:link w:val="Heading2"/>
    <w:uiPriority w:val="99"/>
    <w:semiHidden/>
    <w:locked/>
    <w:rsid w:val="00034257"/>
    <w:rPr>
      <w:rFonts w:ascii="Cambria" w:eastAsia="新細明體" w:hAnsi="Cambria" w:cs="Times New Roman"/>
      <w:b/>
      <w:sz w:val="48"/>
    </w:rPr>
  </w:style>
  <w:style w:type="character" w:customStyle="1" w:styleId="Heading3Char">
    <w:name w:val="Heading 3 Char"/>
    <w:basedOn w:val="DefaultParagraphFont"/>
    <w:link w:val="Heading3"/>
    <w:uiPriority w:val="99"/>
    <w:semiHidden/>
    <w:locked/>
    <w:rsid w:val="00034257"/>
    <w:rPr>
      <w:rFonts w:ascii="Cambria" w:eastAsia="新細明體" w:hAnsi="Cambria" w:cs="Times New Roman"/>
      <w:b/>
      <w:sz w:val="36"/>
    </w:rPr>
  </w:style>
  <w:style w:type="paragraph" w:customStyle="1" w:styleId="a">
    <w:name w:val="格內文"/>
    <w:basedOn w:val="Normal"/>
    <w:uiPriority w:val="99"/>
    <w:rsid w:val="00281B66"/>
    <w:pPr>
      <w:snapToGrid w:val="0"/>
      <w:spacing w:line="200" w:lineRule="atLeast"/>
      <w:jc w:val="center"/>
    </w:pPr>
    <w:rPr>
      <w:rFonts w:eastAsia="標楷體"/>
      <w:szCs w:val="20"/>
    </w:rPr>
  </w:style>
  <w:style w:type="paragraph" w:styleId="BodyText">
    <w:name w:val="Body Text"/>
    <w:basedOn w:val="Normal"/>
    <w:link w:val="BodyTextChar"/>
    <w:uiPriority w:val="99"/>
    <w:semiHidden/>
    <w:rsid w:val="00281B66"/>
    <w:pPr>
      <w:spacing w:line="240" w:lineRule="exact"/>
    </w:pPr>
    <w:rPr>
      <w:kern w:val="0"/>
      <w:sz w:val="20"/>
    </w:rPr>
  </w:style>
  <w:style w:type="character" w:customStyle="1" w:styleId="BodyTextChar">
    <w:name w:val="Body Text Char"/>
    <w:basedOn w:val="DefaultParagraphFont"/>
    <w:link w:val="BodyText"/>
    <w:uiPriority w:val="99"/>
    <w:semiHidden/>
    <w:locked/>
    <w:rsid w:val="00034257"/>
    <w:rPr>
      <w:rFonts w:cs="Times New Roman"/>
      <w:sz w:val="24"/>
    </w:rPr>
  </w:style>
  <w:style w:type="paragraph" w:styleId="HTMLPreformatted">
    <w:name w:val="HTML Preformatted"/>
    <w:basedOn w:val="Normal"/>
    <w:link w:val="HTMLPreformattedChar"/>
    <w:uiPriority w:val="99"/>
    <w:semiHidden/>
    <w:rsid w:val="00281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PreformattedChar">
    <w:name w:val="HTML Preformatted Char"/>
    <w:basedOn w:val="DefaultParagraphFont"/>
    <w:link w:val="HTMLPreformatted"/>
    <w:uiPriority w:val="99"/>
    <w:semiHidden/>
    <w:locked/>
    <w:rsid w:val="00034257"/>
    <w:rPr>
      <w:rFonts w:ascii="Courier New" w:hAnsi="Courier New" w:cs="Times New Roman"/>
      <w:sz w:val="20"/>
    </w:rPr>
  </w:style>
  <w:style w:type="character" w:styleId="HTMLTypewriter">
    <w:name w:val="HTML Typewriter"/>
    <w:basedOn w:val="DefaultParagraphFont"/>
    <w:uiPriority w:val="99"/>
    <w:rsid w:val="00281B66"/>
    <w:rPr>
      <w:rFonts w:ascii="Arial Unicode MS" w:eastAsia="Arial Unicode MS" w:hAnsi="Arial Unicode MS" w:cs="Times New Roman"/>
      <w:sz w:val="20"/>
    </w:rPr>
  </w:style>
  <w:style w:type="paragraph" w:customStyle="1" w:styleId="style7">
    <w:name w:val="style7"/>
    <w:basedOn w:val="Normal"/>
    <w:uiPriority w:val="99"/>
    <w:rsid w:val="00281B66"/>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281B66"/>
    <w:rPr>
      <w:rFonts w:ascii="新細明體" w:eastAsia="新細明體" w:hAnsi="新細明體"/>
    </w:rPr>
  </w:style>
  <w:style w:type="character" w:customStyle="1" w:styleId="style31">
    <w:name w:val="style31"/>
    <w:uiPriority w:val="99"/>
    <w:rsid w:val="00281B66"/>
    <w:rPr>
      <w:b/>
      <w:color w:val="000099"/>
    </w:rPr>
  </w:style>
  <w:style w:type="character" w:customStyle="1" w:styleId="style71">
    <w:name w:val="style71"/>
    <w:uiPriority w:val="99"/>
    <w:rsid w:val="00281B66"/>
    <w:rPr>
      <w:rFonts w:ascii="新細明體" w:eastAsia="新細明體" w:hAnsi="新細明體"/>
      <w:b/>
      <w:color w:val="000099"/>
    </w:rPr>
  </w:style>
  <w:style w:type="character" w:styleId="Strong">
    <w:name w:val="Strong"/>
    <w:basedOn w:val="DefaultParagraphFont"/>
    <w:uiPriority w:val="99"/>
    <w:qFormat/>
    <w:rsid w:val="00281B66"/>
    <w:rPr>
      <w:rFonts w:cs="Times New Roman"/>
      <w:b/>
    </w:rPr>
  </w:style>
  <w:style w:type="paragraph" w:styleId="NormalWeb">
    <w:name w:val="Normal (Web)"/>
    <w:basedOn w:val="Normal"/>
    <w:uiPriority w:val="99"/>
    <w:semiHidden/>
    <w:rsid w:val="00281B66"/>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281B66"/>
    <w:rPr>
      <w:rFonts w:ascii="Tahoma" w:hAnsi="Tahoma"/>
      <w:b/>
      <w:color w:val="626262"/>
      <w:spacing w:val="220"/>
      <w:sz w:val="12"/>
    </w:rPr>
  </w:style>
  <w:style w:type="character" w:customStyle="1" w:styleId="orangeword12px1">
    <w:name w:val="orangeword_12px1"/>
    <w:uiPriority w:val="99"/>
    <w:rsid w:val="00281B66"/>
    <w:rPr>
      <w:rFonts w:ascii="Tahoma" w:hAnsi="Tahoma"/>
      <w:color w:val="FF9900"/>
      <w:sz w:val="12"/>
      <w:u w:val="none"/>
      <w:effect w:val="none"/>
    </w:rPr>
  </w:style>
  <w:style w:type="character" w:styleId="Hyperlink">
    <w:name w:val="Hyperlink"/>
    <w:basedOn w:val="DefaultParagraphFont"/>
    <w:uiPriority w:val="99"/>
    <w:semiHidden/>
    <w:rsid w:val="00281B66"/>
    <w:rPr>
      <w:rFonts w:cs="Times New Roman"/>
      <w:color w:val="0000FF"/>
      <w:u w:val="single"/>
    </w:rPr>
  </w:style>
  <w:style w:type="paragraph" w:styleId="Header">
    <w:name w:val="header"/>
    <w:basedOn w:val="Normal"/>
    <w:link w:val="HeaderChar"/>
    <w:uiPriority w:val="99"/>
    <w:semiHidden/>
    <w:rsid w:val="00281B66"/>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034257"/>
    <w:rPr>
      <w:rFonts w:cs="Times New Roman"/>
      <w:sz w:val="20"/>
    </w:rPr>
  </w:style>
  <w:style w:type="paragraph" w:styleId="Footer">
    <w:name w:val="footer"/>
    <w:basedOn w:val="Normal"/>
    <w:link w:val="FooterChar"/>
    <w:uiPriority w:val="99"/>
    <w:rsid w:val="00281B66"/>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034257"/>
    <w:rPr>
      <w:rFonts w:cs="Times New Roman"/>
      <w:sz w:val="20"/>
    </w:rPr>
  </w:style>
  <w:style w:type="paragraph" w:styleId="Caption">
    <w:name w:val="caption"/>
    <w:basedOn w:val="Normal"/>
    <w:next w:val="Normal"/>
    <w:uiPriority w:val="99"/>
    <w:qFormat/>
    <w:rsid w:val="00281B66"/>
    <w:rPr>
      <w:sz w:val="20"/>
      <w:szCs w:val="20"/>
    </w:rPr>
  </w:style>
  <w:style w:type="character" w:styleId="FollowedHyperlink">
    <w:name w:val="FollowedHyperlink"/>
    <w:basedOn w:val="DefaultParagraphFont"/>
    <w:uiPriority w:val="99"/>
    <w:semiHidden/>
    <w:rsid w:val="00281B66"/>
    <w:rPr>
      <w:rFonts w:cs="Times New Roman"/>
      <w:color w:val="800080"/>
      <w:u w:val="single"/>
    </w:rPr>
  </w:style>
  <w:style w:type="paragraph" w:styleId="MacroText">
    <w:name w:val="macro"/>
    <w:link w:val="MacroTextChar"/>
    <w:uiPriority w:val="99"/>
    <w:semiHidden/>
    <w:rsid w:val="00281B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0"/>
      <w:sz w:val="20"/>
      <w:szCs w:val="24"/>
    </w:rPr>
  </w:style>
  <w:style w:type="character" w:customStyle="1" w:styleId="MacroTextChar">
    <w:name w:val="Macro Text Char"/>
    <w:basedOn w:val="DefaultParagraphFont"/>
    <w:link w:val="MacroText"/>
    <w:uiPriority w:val="99"/>
    <w:semiHidden/>
    <w:locked/>
    <w:rsid w:val="00034257"/>
    <w:rPr>
      <w:rFonts w:ascii="Courier New" w:hAnsi="Courier New" w:cs="Times New Roman"/>
      <w:sz w:val="24"/>
      <w:szCs w:val="24"/>
      <w:lang w:val="en-US" w:eastAsia="zh-TW" w:bidi="ar-SA"/>
    </w:rPr>
  </w:style>
  <w:style w:type="paragraph" w:styleId="Date">
    <w:name w:val="Date"/>
    <w:basedOn w:val="Normal"/>
    <w:next w:val="Normal"/>
    <w:link w:val="DateChar"/>
    <w:uiPriority w:val="99"/>
    <w:semiHidden/>
    <w:rsid w:val="00281B66"/>
    <w:pPr>
      <w:adjustRightInd w:val="0"/>
      <w:snapToGrid w:val="0"/>
      <w:spacing w:line="240" w:lineRule="atLeast"/>
      <w:jc w:val="right"/>
      <w:textAlignment w:val="baseline"/>
    </w:pPr>
    <w:rPr>
      <w:kern w:val="0"/>
      <w:sz w:val="20"/>
    </w:rPr>
  </w:style>
  <w:style w:type="character" w:customStyle="1" w:styleId="DateChar">
    <w:name w:val="Date Char"/>
    <w:basedOn w:val="DefaultParagraphFont"/>
    <w:link w:val="Date"/>
    <w:uiPriority w:val="99"/>
    <w:semiHidden/>
    <w:locked/>
    <w:rsid w:val="00034257"/>
    <w:rPr>
      <w:rFonts w:cs="Times New Roman"/>
      <w:sz w:val="24"/>
    </w:rPr>
  </w:style>
  <w:style w:type="character" w:styleId="PageNumber">
    <w:name w:val="page number"/>
    <w:basedOn w:val="DefaultParagraphFont"/>
    <w:uiPriority w:val="99"/>
    <w:semiHidden/>
    <w:rsid w:val="00281B66"/>
    <w:rPr>
      <w:rFonts w:cs="Times New Roman"/>
    </w:rPr>
  </w:style>
  <w:style w:type="table" w:styleId="TableGrid">
    <w:name w:val="Table Grid"/>
    <w:basedOn w:val="TableNormal"/>
    <w:uiPriority w:val="99"/>
    <w:rsid w:val="00BF2B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0437"/>
    <w:rPr>
      <w:rFonts w:ascii="Cambria" w:hAnsi="Cambria"/>
      <w:sz w:val="18"/>
      <w:szCs w:val="20"/>
    </w:rPr>
  </w:style>
  <w:style w:type="character" w:customStyle="1" w:styleId="BalloonTextChar">
    <w:name w:val="Balloon Text Char"/>
    <w:basedOn w:val="DefaultParagraphFont"/>
    <w:link w:val="BalloonText"/>
    <w:uiPriority w:val="99"/>
    <w:semiHidden/>
    <w:locked/>
    <w:rsid w:val="00270437"/>
    <w:rPr>
      <w:rFonts w:ascii="Cambria" w:eastAsia="新細明體" w:hAnsi="Cambria" w:cs="Times New Roman"/>
      <w:kern w:val="2"/>
      <w:sz w:val="18"/>
    </w:rPr>
  </w:style>
  <w:style w:type="character" w:customStyle="1" w:styleId="fonts10pt1">
    <w:name w:val="fonts10pt1"/>
    <w:uiPriority w:val="99"/>
    <w:rsid w:val="0087447D"/>
    <w:rPr>
      <w:color w:val="000000"/>
      <w:sz w:val="20"/>
      <w:u w:val="none"/>
    </w:rPr>
  </w:style>
  <w:style w:type="paragraph" w:customStyle="1" w:styleId="1">
    <w:name w:val="首凸(1)"/>
    <w:basedOn w:val="Normal"/>
    <w:uiPriority w:val="99"/>
    <w:rsid w:val="00B65607"/>
    <w:pPr>
      <w:widowControl/>
      <w:adjustRightInd w:val="0"/>
      <w:spacing w:before="40" w:after="40" w:line="400" w:lineRule="atLeast"/>
      <w:ind w:left="1458" w:hanging="301"/>
      <w:jc w:val="both"/>
      <w:textAlignment w:val="baseline"/>
    </w:pPr>
    <w:rPr>
      <w:kern w:val="0"/>
      <w:sz w:val="26"/>
      <w:szCs w:val="20"/>
    </w:rPr>
  </w:style>
  <w:style w:type="paragraph" w:styleId="NoteHeading">
    <w:name w:val="Note Heading"/>
    <w:aliases w:val="字元 字元 字元,字元 字元"/>
    <w:basedOn w:val="Normal"/>
    <w:next w:val="Normal"/>
    <w:link w:val="NoteHeadingChar"/>
    <w:uiPriority w:val="99"/>
    <w:rsid w:val="009352AF"/>
    <w:pPr>
      <w:adjustRightInd w:val="0"/>
      <w:snapToGrid w:val="0"/>
      <w:spacing w:line="240" w:lineRule="atLeast"/>
      <w:jc w:val="center"/>
      <w:textAlignment w:val="baseline"/>
    </w:pPr>
    <w:rPr>
      <w:rFonts w:eastAsia="全真楷書"/>
      <w:kern w:val="0"/>
      <w:szCs w:val="20"/>
    </w:rPr>
  </w:style>
  <w:style w:type="character" w:customStyle="1" w:styleId="NoteHeadingChar">
    <w:name w:val="Note Heading Char"/>
    <w:aliases w:val="字元 字元 字元 Char,字元 字元 Char"/>
    <w:basedOn w:val="DefaultParagraphFont"/>
    <w:link w:val="NoteHeading"/>
    <w:uiPriority w:val="99"/>
    <w:locked/>
    <w:rsid w:val="009352AF"/>
    <w:rPr>
      <w:rFonts w:eastAsia="全真楷書" w:cs="Times New Roman"/>
      <w:sz w:val="24"/>
    </w:rPr>
  </w:style>
  <w:style w:type="paragraph" w:styleId="ListParagraph">
    <w:name w:val="List Paragraph"/>
    <w:basedOn w:val="Normal"/>
    <w:uiPriority w:val="99"/>
    <w:qFormat/>
    <w:rsid w:val="009352AF"/>
    <w:pPr>
      <w:adjustRightInd w:val="0"/>
      <w:snapToGrid w:val="0"/>
      <w:spacing w:line="240" w:lineRule="atLeast"/>
      <w:ind w:leftChars="200" w:left="480"/>
      <w:jc w:val="both"/>
      <w:textAlignment w:val="baseline"/>
    </w:pPr>
    <w:rPr>
      <w:rFonts w:eastAsia="標楷體"/>
      <w:kern w:val="0"/>
      <w:szCs w:val="20"/>
    </w:rPr>
  </w:style>
  <w:style w:type="paragraph" w:customStyle="1" w:styleId="10">
    <w:name w:val="1."/>
    <w:basedOn w:val="Normal"/>
    <w:uiPriority w:val="99"/>
    <w:rsid w:val="0048635D"/>
    <w:pPr>
      <w:adjustRightInd w:val="0"/>
      <w:snapToGrid w:val="0"/>
      <w:spacing w:before="120" w:after="120" w:line="360" w:lineRule="atLeast"/>
      <w:ind w:leftChars="365" w:left="1061" w:hangingChars="77" w:hanging="185"/>
      <w:jc w:val="both"/>
      <w:textAlignment w:val="baseline"/>
    </w:pPr>
    <w:rPr>
      <w:rFonts w:eastAsia="標楷體"/>
      <w:kern w:val="0"/>
      <w:szCs w:val="20"/>
    </w:rPr>
  </w:style>
  <w:style w:type="character" w:styleId="CommentReference">
    <w:name w:val="annotation reference"/>
    <w:basedOn w:val="DefaultParagraphFont"/>
    <w:uiPriority w:val="99"/>
    <w:semiHidden/>
    <w:rsid w:val="007433EE"/>
    <w:rPr>
      <w:rFonts w:cs="Times New Roman"/>
      <w:sz w:val="18"/>
    </w:rPr>
  </w:style>
  <w:style w:type="paragraph" w:styleId="CommentText">
    <w:name w:val="annotation text"/>
    <w:basedOn w:val="Normal"/>
    <w:link w:val="CommentTextChar"/>
    <w:uiPriority w:val="99"/>
    <w:semiHidden/>
    <w:rsid w:val="007433EE"/>
  </w:style>
  <w:style w:type="character" w:customStyle="1" w:styleId="CommentTextChar">
    <w:name w:val="Comment Text Char"/>
    <w:basedOn w:val="DefaultParagraphFont"/>
    <w:link w:val="CommentText"/>
    <w:uiPriority w:val="99"/>
    <w:semiHidden/>
    <w:locked/>
    <w:rsid w:val="007433EE"/>
    <w:rPr>
      <w:rFonts w:cs="Times New Roman"/>
      <w:kern w:val="2"/>
      <w:sz w:val="24"/>
    </w:rPr>
  </w:style>
  <w:style w:type="paragraph" w:styleId="CommentSubject">
    <w:name w:val="annotation subject"/>
    <w:basedOn w:val="CommentText"/>
    <w:next w:val="CommentText"/>
    <w:link w:val="CommentSubjectChar"/>
    <w:uiPriority w:val="99"/>
    <w:semiHidden/>
    <w:rsid w:val="007433EE"/>
    <w:rPr>
      <w:b/>
      <w:bCs/>
    </w:rPr>
  </w:style>
  <w:style w:type="character" w:customStyle="1" w:styleId="CommentSubjectChar">
    <w:name w:val="Comment Subject Char"/>
    <w:basedOn w:val="CommentTextChar"/>
    <w:link w:val="CommentSubject"/>
    <w:uiPriority w:val="99"/>
    <w:semiHidden/>
    <w:locked/>
    <w:rsid w:val="007433EE"/>
    <w:rPr>
      <w:b/>
    </w:rPr>
  </w:style>
  <w:style w:type="paragraph" w:customStyle="1" w:styleId="Default">
    <w:name w:val="Default"/>
    <w:uiPriority w:val="99"/>
    <w:rsid w:val="00A3328C"/>
    <w:pPr>
      <w:widowControl w:val="0"/>
      <w:autoSpaceDE w:val="0"/>
      <w:autoSpaceDN w:val="0"/>
      <w:adjustRightInd w:val="0"/>
    </w:pPr>
    <w:rPr>
      <w:rFonts w:ascii="標楷體" w:eastAsia="標楷體" w:cs="標楷體"/>
      <w:color w:val="000000"/>
      <w:kern w:val="0"/>
      <w:szCs w:val="24"/>
    </w:rPr>
  </w:style>
  <w:style w:type="paragraph" w:styleId="BodyTextIndent">
    <w:name w:val="Body Text Indent"/>
    <w:basedOn w:val="Normal"/>
    <w:link w:val="BodyTextIndentChar"/>
    <w:uiPriority w:val="99"/>
    <w:rsid w:val="001F21FF"/>
    <w:pPr>
      <w:spacing w:after="120"/>
      <w:ind w:leftChars="200" w:left="480"/>
    </w:pPr>
  </w:style>
  <w:style w:type="character" w:customStyle="1" w:styleId="BodyTextIndentChar">
    <w:name w:val="Body Text Indent Char"/>
    <w:basedOn w:val="DefaultParagraphFont"/>
    <w:link w:val="BodyTextIndent"/>
    <w:uiPriority w:val="99"/>
    <w:locked/>
    <w:rsid w:val="001F21FF"/>
    <w:rPr>
      <w:rFonts w:cs="Times New Roman"/>
      <w:kern w:val="2"/>
      <w:sz w:val="24"/>
      <w:szCs w:val="24"/>
    </w:rPr>
  </w:style>
  <w:style w:type="paragraph" w:styleId="BlockText">
    <w:name w:val="Block Text"/>
    <w:basedOn w:val="Normal"/>
    <w:uiPriority w:val="99"/>
    <w:rsid w:val="00E57429"/>
    <w:pPr>
      <w:spacing w:beforeLines="50" w:line="400" w:lineRule="exact"/>
      <w:ind w:leftChars="180" w:left="180" w:rightChars="-6" w:right="-6" w:firstLineChars="192" w:firstLine="538"/>
      <w:jc w:val="both"/>
    </w:pPr>
    <w:rPr>
      <w:rFonts w:eastAsia="標楷體"/>
      <w:sz w:val="28"/>
      <w:szCs w:val="26"/>
    </w:rPr>
  </w:style>
  <w:style w:type="paragraph" w:customStyle="1" w:styleId="w">
    <w:name w:val="壹一(一)w"/>
    <w:basedOn w:val="Normal"/>
    <w:uiPriority w:val="99"/>
    <w:rsid w:val="00E57429"/>
    <w:pPr>
      <w:suppressAutoHyphens/>
      <w:spacing w:beforeLines="50" w:afterLines="50" w:line="400" w:lineRule="atLeast"/>
      <w:ind w:leftChars="408" w:left="979" w:firstLineChars="191" w:firstLine="497"/>
      <w:jc w:val="both"/>
    </w:pPr>
    <w:rPr>
      <w:rFonts w:ascii="標楷體" w:eastAsia="標楷體" w:hAnsi="標楷體"/>
      <w:color w:val="000000"/>
      <w:kern w:val="24"/>
      <w:sz w:val="26"/>
      <w:szCs w:val="26"/>
    </w:rPr>
  </w:style>
  <w:style w:type="paragraph" w:customStyle="1" w:styleId="a0">
    <w:name w:val="壹一(一)"/>
    <w:basedOn w:val="Normal"/>
    <w:uiPriority w:val="99"/>
    <w:rsid w:val="00E57429"/>
    <w:pPr>
      <w:suppressAutoHyphens/>
      <w:spacing w:beforeLines="50" w:afterLines="50" w:line="400" w:lineRule="atLeast"/>
      <w:ind w:leftChars="200" w:left="1052" w:hangingChars="220" w:hanging="572"/>
      <w:jc w:val="both"/>
    </w:pPr>
    <w:rPr>
      <w:rFonts w:ascii="標楷體" w:eastAsia="標楷體" w:hAnsi="標楷體"/>
      <w:color w:val="000000"/>
      <w:kern w:val="24"/>
      <w:sz w:val="26"/>
      <w:szCs w:val="26"/>
      <w:lang w:eastAsia="ar-SA"/>
    </w:rPr>
  </w:style>
  <w:style w:type="paragraph" w:customStyle="1" w:styleId="11">
    <w:name w:val="字元1"/>
    <w:basedOn w:val="Normal"/>
    <w:uiPriority w:val="99"/>
    <w:rsid w:val="00AF1E34"/>
    <w:pPr>
      <w:widowControl/>
      <w:spacing w:after="160" w:line="240" w:lineRule="exact"/>
    </w:pPr>
    <w:rPr>
      <w:rFonts w:ascii="Arial" w:hAnsi="Arial" w:cs="Arial"/>
      <w:kern w:val="0"/>
      <w:sz w:val="20"/>
      <w:szCs w:val="20"/>
      <w:lang w:eastAsia="en-US"/>
    </w:rPr>
  </w:style>
  <w:style w:type="paragraph" w:customStyle="1" w:styleId="A1">
    <w:name w:val="標題A."/>
    <w:basedOn w:val="Normal"/>
    <w:uiPriority w:val="99"/>
    <w:rsid w:val="00AF1E34"/>
    <w:pPr>
      <w:snapToGrid w:val="0"/>
      <w:ind w:left="2755" w:hanging="227"/>
      <w:jc w:val="both"/>
    </w:pPr>
    <w:rPr>
      <w:rFonts w:eastAsia="標楷體"/>
      <w:sz w:val="26"/>
      <w:szCs w:val="20"/>
    </w:rPr>
  </w:style>
  <w:style w:type="paragraph" w:customStyle="1" w:styleId="a2">
    <w:name w:val="標題a"/>
    <w:basedOn w:val="Normal"/>
    <w:uiPriority w:val="99"/>
    <w:rsid w:val="00AF1E34"/>
    <w:pPr>
      <w:snapToGrid w:val="0"/>
      <w:ind w:left="2772" w:hanging="244"/>
      <w:jc w:val="both"/>
    </w:pPr>
    <w:rPr>
      <w:rFonts w:ascii="標楷體" w:eastAsia="標楷體"/>
      <w:sz w:val="26"/>
      <w:szCs w:val="20"/>
    </w:rPr>
  </w:style>
</w:styles>
</file>

<file path=word/webSettings.xml><?xml version="1.0" encoding="utf-8"?>
<w:webSettings xmlns:r="http://schemas.openxmlformats.org/officeDocument/2006/relationships" xmlns:w="http://schemas.openxmlformats.org/wordprocessingml/2006/main">
  <w:divs>
    <w:div w:id="998577558">
      <w:marLeft w:val="0"/>
      <w:marRight w:val="0"/>
      <w:marTop w:val="0"/>
      <w:marBottom w:val="0"/>
      <w:divBdr>
        <w:top w:val="none" w:sz="0" w:space="0" w:color="auto"/>
        <w:left w:val="none" w:sz="0" w:space="0" w:color="auto"/>
        <w:bottom w:val="none" w:sz="0" w:space="0" w:color="auto"/>
        <w:right w:val="none" w:sz="0" w:space="0" w:color="auto"/>
      </w:divBdr>
    </w:div>
    <w:div w:id="998577560">
      <w:marLeft w:val="0"/>
      <w:marRight w:val="0"/>
      <w:marTop w:val="0"/>
      <w:marBottom w:val="0"/>
      <w:divBdr>
        <w:top w:val="none" w:sz="0" w:space="0" w:color="auto"/>
        <w:left w:val="none" w:sz="0" w:space="0" w:color="auto"/>
        <w:bottom w:val="none" w:sz="0" w:space="0" w:color="auto"/>
        <w:right w:val="none" w:sz="0" w:space="0" w:color="auto"/>
      </w:divBdr>
    </w:div>
    <w:div w:id="998577561">
      <w:marLeft w:val="0"/>
      <w:marRight w:val="0"/>
      <w:marTop w:val="0"/>
      <w:marBottom w:val="0"/>
      <w:divBdr>
        <w:top w:val="none" w:sz="0" w:space="0" w:color="auto"/>
        <w:left w:val="none" w:sz="0" w:space="0" w:color="auto"/>
        <w:bottom w:val="none" w:sz="0" w:space="0" w:color="auto"/>
        <w:right w:val="none" w:sz="0" w:space="0" w:color="auto"/>
      </w:divBdr>
      <w:divsChild>
        <w:div w:id="998577559">
          <w:marLeft w:val="720"/>
          <w:marRight w:val="0"/>
          <w:marTop w:val="0"/>
          <w:marBottom w:val="0"/>
          <w:divBdr>
            <w:top w:val="none" w:sz="0" w:space="0" w:color="auto"/>
            <w:left w:val="none" w:sz="0" w:space="0" w:color="auto"/>
            <w:bottom w:val="none" w:sz="0" w:space="0" w:color="auto"/>
            <w:right w:val="none" w:sz="0" w:space="0" w:color="auto"/>
          </w:divBdr>
        </w:div>
        <w:div w:id="998577562">
          <w:marLeft w:val="720"/>
          <w:marRight w:val="0"/>
          <w:marTop w:val="0"/>
          <w:marBottom w:val="0"/>
          <w:divBdr>
            <w:top w:val="none" w:sz="0" w:space="0" w:color="auto"/>
            <w:left w:val="none" w:sz="0" w:space="0" w:color="auto"/>
            <w:bottom w:val="none" w:sz="0" w:space="0" w:color="auto"/>
            <w:right w:val="none" w:sz="0" w:space="0" w:color="auto"/>
          </w:divBdr>
        </w:div>
        <w:div w:id="998577567">
          <w:marLeft w:val="720"/>
          <w:marRight w:val="0"/>
          <w:marTop w:val="0"/>
          <w:marBottom w:val="0"/>
          <w:divBdr>
            <w:top w:val="none" w:sz="0" w:space="0" w:color="auto"/>
            <w:left w:val="none" w:sz="0" w:space="0" w:color="auto"/>
            <w:bottom w:val="none" w:sz="0" w:space="0" w:color="auto"/>
            <w:right w:val="none" w:sz="0" w:space="0" w:color="auto"/>
          </w:divBdr>
        </w:div>
        <w:div w:id="998577568">
          <w:marLeft w:val="720"/>
          <w:marRight w:val="0"/>
          <w:marTop w:val="0"/>
          <w:marBottom w:val="0"/>
          <w:divBdr>
            <w:top w:val="none" w:sz="0" w:space="0" w:color="auto"/>
            <w:left w:val="none" w:sz="0" w:space="0" w:color="auto"/>
            <w:bottom w:val="none" w:sz="0" w:space="0" w:color="auto"/>
            <w:right w:val="none" w:sz="0" w:space="0" w:color="auto"/>
          </w:divBdr>
        </w:div>
        <w:div w:id="998577569">
          <w:marLeft w:val="720"/>
          <w:marRight w:val="0"/>
          <w:marTop w:val="0"/>
          <w:marBottom w:val="0"/>
          <w:divBdr>
            <w:top w:val="none" w:sz="0" w:space="0" w:color="auto"/>
            <w:left w:val="none" w:sz="0" w:space="0" w:color="auto"/>
            <w:bottom w:val="none" w:sz="0" w:space="0" w:color="auto"/>
            <w:right w:val="none" w:sz="0" w:space="0" w:color="auto"/>
          </w:divBdr>
        </w:div>
        <w:div w:id="998577570">
          <w:marLeft w:val="720"/>
          <w:marRight w:val="0"/>
          <w:marTop w:val="0"/>
          <w:marBottom w:val="0"/>
          <w:divBdr>
            <w:top w:val="none" w:sz="0" w:space="0" w:color="auto"/>
            <w:left w:val="none" w:sz="0" w:space="0" w:color="auto"/>
            <w:bottom w:val="none" w:sz="0" w:space="0" w:color="auto"/>
            <w:right w:val="none" w:sz="0" w:space="0" w:color="auto"/>
          </w:divBdr>
        </w:div>
        <w:div w:id="998577571">
          <w:marLeft w:val="720"/>
          <w:marRight w:val="0"/>
          <w:marTop w:val="0"/>
          <w:marBottom w:val="0"/>
          <w:divBdr>
            <w:top w:val="none" w:sz="0" w:space="0" w:color="auto"/>
            <w:left w:val="none" w:sz="0" w:space="0" w:color="auto"/>
            <w:bottom w:val="none" w:sz="0" w:space="0" w:color="auto"/>
            <w:right w:val="none" w:sz="0" w:space="0" w:color="auto"/>
          </w:divBdr>
        </w:div>
      </w:divsChild>
    </w:div>
    <w:div w:id="998577563">
      <w:marLeft w:val="0"/>
      <w:marRight w:val="0"/>
      <w:marTop w:val="0"/>
      <w:marBottom w:val="0"/>
      <w:divBdr>
        <w:top w:val="none" w:sz="0" w:space="0" w:color="auto"/>
        <w:left w:val="none" w:sz="0" w:space="0" w:color="auto"/>
        <w:bottom w:val="none" w:sz="0" w:space="0" w:color="auto"/>
        <w:right w:val="none" w:sz="0" w:space="0" w:color="auto"/>
      </w:divBdr>
    </w:div>
    <w:div w:id="998577564">
      <w:marLeft w:val="0"/>
      <w:marRight w:val="0"/>
      <w:marTop w:val="0"/>
      <w:marBottom w:val="0"/>
      <w:divBdr>
        <w:top w:val="none" w:sz="0" w:space="0" w:color="auto"/>
        <w:left w:val="none" w:sz="0" w:space="0" w:color="auto"/>
        <w:bottom w:val="none" w:sz="0" w:space="0" w:color="auto"/>
        <w:right w:val="none" w:sz="0" w:space="0" w:color="auto"/>
      </w:divBdr>
    </w:div>
    <w:div w:id="998577565">
      <w:marLeft w:val="0"/>
      <w:marRight w:val="0"/>
      <w:marTop w:val="0"/>
      <w:marBottom w:val="0"/>
      <w:divBdr>
        <w:top w:val="none" w:sz="0" w:space="0" w:color="auto"/>
        <w:left w:val="none" w:sz="0" w:space="0" w:color="auto"/>
        <w:bottom w:val="none" w:sz="0" w:space="0" w:color="auto"/>
        <w:right w:val="none" w:sz="0" w:space="0" w:color="auto"/>
      </w:divBdr>
    </w:div>
    <w:div w:id="998577566">
      <w:marLeft w:val="0"/>
      <w:marRight w:val="0"/>
      <w:marTop w:val="0"/>
      <w:marBottom w:val="0"/>
      <w:divBdr>
        <w:top w:val="none" w:sz="0" w:space="0" w:color="auto"/>
        <w:left w:val="none" w:sz="0" w:space="0" w:color="auto"/>
        <w:bottom w:val="none" w:sz="0" w:space="0" w:color="auto"/>
        <w:right w:val="none" w:sz="0" w:space="0" w:color="auto"/>
      </w:divBdr>
    </w:div>
    <w:div w:id="998577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mops.tse.com.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1429</Words>
  <Characters>8146</Characters>
  <Application>Microsoft Office Outlook</Application>
  <DocSecurity>0</DocSecurity>
  <Lines>0</Lines>
  <Paragraphs>0</Paragraphs>
  <ScaleCrop>false</ScaleCrop>
  <Company>abc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dc:description/>
  <cp:lastModifiedBy>B2186</cp:lastModifiedBy>
  <cp:revision>3</cp:revision>
  <cp:lastPrinted>2015-03-11T03:27:00Z</cp:lastPrinted>
  <dcterms:created xsi:type="dcterms:W3CDTF">2015-03-19T09:57:00Z</dcterms:created>
  <dcterms:modified xsi:type="dcterms:W3CDTF">2015-03-19T10:03:00Z</dcterms:modified>
</cp:coreProperties>
</file>